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footer1.xml" ContentType="application/vnd.openxmlformats-officedocument.wordprocessingml.footer+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xml:space="preserve" ve:Ignorable="w14">
  <w:body>
    <w:p>
      <w:pPr>
        <w:pStyle w:val="BodyText"/>
        <w:rPr>
          <w:rFonts w:ascii="Times New Roman"/>
        </w:rPr>
      </w:pPr>
    </w:p>
    <w:p>
      <w:pPr>
        <w:pStyle w:val="BodyText"/>
        <w:spacing w:before="30"/>
        <w:rPr>
          <w:rFonts w:ascii="Times New Roman"/>
        </w:rPr>
      </w:pPr>
    </w:p>
    <w:p>
      <w:pPr>
        <w:pStyle w:val="BodyText"/>
        <w:tabs>
          <w:tab w:val="left" w:leader="none" w:pos="2879"/>
          <w:tab w:val="left" w:leader="none" w:pos="5999"/>
        </w:tabs>
        <w:ind w:right="45"/>
        <w:jc w:val="center"/>
        <w:rPr>
          <w:rFonts w:ascii="Times New Roman" w:eastAsia="Times New Roman"/>
        </w:rPr>
      </w:pPr>
      <w:r>
        <w:rPr>
          <w:rFonts w:ascii="Times New Roman" w:eastAsia="Times New Roman"/>
        </w:rPr>
        <w:t xml:space="preserve">Stock Code:</w:t>
      </w:r>
      <w:r>
        <w:rPr>
          <w:rFonts w:ascii="Times New Roman" w:hAnsi="Times New Roman" w:eastAsia="Times New Roman"/>
        </w:rPr>
        <w:t xml:space="preserve">301376</w:t>
      </w:r>
      <w:r>
        <w:rPr>
          <w:rFonts w:ascii="Times New Roman" w:eastAsia="Times New Roman"/>
        </w:rPr>
        <w:tab/>
      </w:r>
      <w:r>
        <w:rPr>
          <w:rFonts w:ascii="Times New Roman" w:eastAsia="Times New Roman"/>
        </w:rPr>
        <w:t xml:space="preserve">Stock Abbreviation: Ziel Home Technology</w:t>
      </w:r>
      <w:r>
        <w:rPr>
          <w:rFonts w:ascii="Times New Roman" w:eastAsia="Times New Roman"/>
        </w:rPr>
        <w:tab/>
      </w:r>
      <w:r>
        <w:rPr>
          <w:rFonts w:ascii="Times New Roman" w:eastAsia="Times New Roman"/>
        </w:rPr>
        <w:t xml:space="preserve">Announcement No.:</w:t>
      </w:r>
      <w:r>
        <w:rPr>
          <w:rFonts w:ascii="Times New Roman" w:hAnsi="Times New Roman" w:eastAsia="Times New Roman"/>
        </w:rPr>
        <w:t xml:space="preserve">2026-052</w:t>
      </w: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spacing w:before="53"/>
        <w:rPr>
          <w:rFonts w:ascii="Times New Roman"/>
        </w:rPr>
      </w:pPr>
    </w:p>
    <w:p>
      <w:pPr>
        <w:pStyle w:val="Heading1"/>
        <w:spacing w:line="717" w:lineRule="auto"/>
      </w:pPr>
      <w:r>
        <w:rPr>
          <w:spacing w:val="-2"/>
        </w:rPr>
        <w:t xml:space="preserve">Ziel Home Technology Co., Ltd. 2026 Interim Report Summary</w:t>
      </w:r>
    </w:p>
    <w:p>
      <w:pPr>
        <w:pStyle w:val="Heading1"/>
        <w:spacing w:after="0" w:line="717" w:lineRule="auto"/>
        <w:sectPr>
          <w:headerReference w:type="default" r:id="rId5"/>
          <w:footerReference w:type="default" r:id="rId6"/>
          <w:type w:val="continuous"/>
          <w:pgSz w:w="11910" w:h="16840"/>
          <w:pgMar w:top="1400" w:right="1133" w:bottom="1180" w:left="992" w:header="878" w:footer="999"/>
          <w:pgNumType w:start="1"/>
        </w:sectPr>
      </w:pPr>
    </w:p>
    <w:p>
      <w:pPr>
        <w:pStyle w:val="Heading2"/>
        <w:spacing w:before="51"/>
      </w:pPr>
      <w:bookmarkStart w:name="一、重要提示" w:id="1"/>
      <w:bookmarkEnd w:id="1"/>
      <w:r>
        <w:rPr>
          <w:spacing w:val="-4"/>
        </w:rPr>
        <w:t xml:space="preserve">I. Important Notes</w:t>
      </w:r>
    </w:p>
    <w:p>
      <w:pPr>
        <w:pStyle w:val="BodyText"/>
        <w:spacing w:before="60"/>
        <w:rPr>
          <w:b/>
        </w:rPr>
      </w:pPr>
    </w:p>
    <w:p>
      <w:pPr>
        <w:pStyle w:val="BodyText"/>
        <w:spacing w:line="360" w:lineRule="auto"/>
        <w:ind w:left="140" w:right="277"/>
      </w:pPr>
      <w:r>
        <w:rPr>
          <w:spacing w:val="-2"/>
        </w:rPr>
        <w:t xml:space="preserve">This interim report summary is derived from the full interim report. To fully understand the Company's operating results, financial position and future development plans, investors should carefully read the full interim report on the media designated by the CSRC.</w:t>
      </w:r>
    </w:p>
    <w:p>
      <w:pPr>
        <w:pStyle w:val="BodyText"/>
        <w:spacing w:line="360" w:lineRule="auto"/>
        <w:ind w:left="140" w:right="4597"/>
      </w:pPr>
      <w:r>
        <w:rPr>
          <w:spacing w:val="-2"/>
        </w:rPr>
        <w:t xml:space="preserve">All directors have attended the board meeting at which this report was reviewed. Indication of Non-standard Audit Opinion</w:t>
      </w:r>
    </w:p>
    <w:p>
      <w:pPr>
        <w:pStyle w:val="BodyText"/>
        <w:ind w:left="140"/>
      </w:pPr>
      <w:r>
        <w:rPr>
          <w:spacing w:val="-18"/>
        </w:rPr>
        <w:t xml:space="preserve">□Applicable </w:t>
      </w:r>
      <w:r>
        <w:rPr>
          <w:rFonts w:ascii="Wingdings 2" w:hAnsi="Wingdings 2"/>
          <w:spacing w:val="-18"/>
        </w:rPr>
        <w:t xml:space="preserve">☑</w:t>
      </w:r>
      <w:r>
        <w:rPr>
          <w:spacing w:val="-18"/>
        </w:rPr>
        <w:t xml:space="preserve">Not Applicable</w:t>
      </w:r>
    </w:p>
    <w:p>
      <w:pPr>
        <w:pStyle w:val="BodyText"/>
        <w:spacing w:before="156"/>
        <w:ind w:left="140"/>
      </w:pPr>
      <w:r>
        <w:rPr>
          <w:spacing w:val="-1"/>
        </w:rPr>
        <w:t xml:space="preserve">Profit distribution proposal or proposal for conversion of capital reserves into share capital for the reporting period as reviewed by the Board of Directors</w:t>
      </w:r>
    </w:p>
    <w:p>
      <w:pPr>
        <w:pStyle w:val="BodyText"/>
        <w:spacing w:before="156"/>
        <w:ind w:left="140"/>
      </w:pPr>
      <w:r>
        <w:rPr>
          <w:spacing w:val="-18"/>
        </w:rPr>
        <w:t xml:space="preserve">□Applicable </w:t>
      </w:r>
      <w:r>
        <w:rPr>
          <w:rFonts w:ascii="Wingdings 2" w:hAnsi="Wingdings 2"/>
          <w:spacing w:val="-18"/>
        </w:rPr>
        <w:t xml:space="preserve">☑</w:t>
      </w:r>
      <w:r>
        <w:rPr>
          <w:spacing w:val="-18"/>
        </w:rPr>
        <w:t xml:space="preserve">Not Applicable</w:t>
      </w:r>
    </w:p>
    <w:p>
      <w:pPr>
        <w:pStyle w:val="BodyText"/>
        <w:spacing w:before="156" w:line="360" w:lineRule="auto"/>
        <w:ind w:left="140" w:right="3157"/>
      </w:pPr>
      <w:r>
        <w:rPr>
          <w:spacing w:val="-2"/>
        </w:rPr>
        <w:t xml:space="preserve">The Company does not plan to distribute cash dividends, issue bonus shares, or convert capital reserves into share capital. Proposal for profit distribution of preference shares for the reporting period as approved by resolution of the Board of Directors</w:t>
      </w:r>
    </w:p>
    <w:p>
      <w:pPr>
        <w:pStyle w:val="BodyText"/>
        <w:ind w:left="140"/>
      </w:pPr>
      <w:r>
        <w:rPr>
          <w:spacing w:val="-18"/>
        </w:rPr>
        <w:t xml:space="preserve">□Applicable </w:t>
      </w:r>
      <w:r>
        <w:rPr>
          <w:rFonts w:ascii="Wingdings 2" w:hAnsi="Wingdings 2"/>
          <w:spacing w:val="-18"/>
        </w:rPr>
        <w:t xml:space="preserve">☑</w:t>
      </w:r>
      <w:r>
        <w:rPr>
          <w:spacing w:val="-18"/>
        </w:rPr>
        <w:t xml:space="preserve">Not Applicable</w:t>
      </w:r>
    </w:p>
    <w:p>
      <w:pPr>
        <w:pStyle w:val="BodyText"/>
        <w:spacing w:before="79"/>
      </w:pPr>
    </w:p>
    <w:p>
      <w:pPr>
        <w:pStyle w:val="Heading2"/>
        <w:spacing w:before="1" w:after="14" w:line="451" w:lineRule="auto"/>
        <w:ind w:right="7710"/>
      </w:pPr>
      <w:bookmarkStart w:name="二、公司基本情况" w:id="2"/>
      <w:bookmarkEnd w:id="2"/>
      <w:bookmarkStart w:name="1、公司简介" w:id="3"/>
      <w:bookmarkEnd w:id="3"/>
      <w:r>
        <w:rPr>
          <w:spacing w:val="-2"/>
        </w:rPr>
        <w:t xml:space="preserve">II. Company Profile 1. Company Information</w:t>
      </w:r>
    </w:p>
    <w:tbl>
      <w:tblPr>
        <w:tblW w:w="0" w:type="auto"/>
        <w:jc w:val="left"/>
        <w:tblInd w:w="3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Look w:val="01E0"/>
      </w:tblPr>
      <w:tblGrid>
        <w:gridCol w:w="3213"/>
        <w:gridCol w:w="2142"/>
        <w:gridCol w:w="1071"/>
        <w:gridCol w:w="1071"/>
        <w:gridCol w:w="2142"/>
      </w:tblGrid>
      <w:tr>
        <w:trPr>
          <w:trHeight w:val="453" w:hRule="atLeast"/>
        </w:trPr>
        <w:tc>
          <w:tcPr>
            <w:tcW w:w="3213" w:type="dxa"/>
            <w:shd w:val="clear" w:color="auto" w:fill="D2D2D2"/>
          </w:tcPr>
          <w:p>
            <w:pPr>
              <w:pStyle w:val="TableParagraph"/>
              <w:spacing w:before="86"/>
              <w:ind w:left="106"/>
              <w:rPr>
                <w:sz w:val="21"/>
              </w:rPr>
            </w:pPr>
            <w:r>
              <w:rPr>
                <w:sz w:val="21"/>
              </w:rPr>
              <w:t xml:space="preserve">Stock Abbreviation</w:t>
            </w:r>
          </w:p>
        </w:tc>
        <w:tc>
          <w:tcPr>
            <w:tcW w:w="2142" w:type="dxa"/>
          </w:tcPr>
          <w:p>
            <w:pPr>
              <w:pStyle w:val="TableParagraph"/>
              <w:spacing w:before="86"/>
              <w:ind w:left="107"/>
              <w:rPr>
                <w:sz w:val="21"/>
              </w:rPr>
            </w:pPr>
            <w:r>
              <w:rPr>
                <w:sz w:val="21"/>
              </w:rPr>
              <w:t xml:space="preserve">Ziel Home Technology</w:t>
            </w:r>
          </w:p>
        </w:tc>
        <w:tc>
          <w:tcPr>
            <w:tcW w:w="2142" w:type="dxa"/>
            <w:gridSpan w:val="2"/>
            <w:shd w:val="clear" w:color="auto" w:fill="D2D2D2"/>
          </w:tcPr>
          <w:p>
            <w:pPr>
              <w:pStyle w:val="TableParagraph"/>
              <w:spacing w:before="86"/>
              <w:ind w:left="108"/>
              <w:rPr>
                <w:sz w:val="21"/>
              </w:rPr>
            </w:pPr>
            <w:r>
              <w:rPr>
                <w:sz w:val="21"/>
              </w:rPr>
              <w:t xml:space="preserve">Stock Code</w:t>
            </w:r>
          </w:p>
        </w:tc>
        <w:tc>
          <w:tcPr>
            <w:tcW w:w="2142" w:type="dxa"/>
          </w:tcPr>
          <w:p>
            <w:pPr>
              <w:pStyle w:val="TableParagraph"/>
              <w:spacing w:before="104"/>
              <w:ind w:left="107"/>
              <w:rPr>
                <w:rFonts w:ascii="Times New Roman"/>
                <w:sz w:val="21"/>
              </w:rPr>
            </w:pPr>
            <w:r>
              <w:rPr>
                <w:rFonts w:ascii="Times New Roman"/>
                <w:spacing w:val="-2"/>
                <w:sz w:val="21"/>
              </w:rPr>
              <w:t>301376</w:t>
            </w:r>
          </w:p>
        </w:tc>
      </w:tr>
      <w:tr>
        <w:trPr>
          <w:trHeight w:val="453" w:hRule="atLeast"/>
        </w:trPr>
        <w:tc>
          <w:tcPr>
            <w:tcW w:w="3213" w:type="dxa"/>
            <w:shd w:val="clear" w:color="auto" w:fill="D2D2D2"/>
          </w:tcPr>
          <w:p>
            <w:pPr>
              <w:pStyle w:val="TableParagraph"/>
              <w:spacing w:before="85"/>
              <w:ind w:left="106"/>
              <w:rPr>
                <w:sz w:val="21"/>
              </w:rPr>
            </w:pPr>
            <w:r>
              <w:rPr>
                <w:sz w:val="21"/>
              </w:rPr>
              <w:t xml:space="preserve">Stock Exchange</w:t>
            </w:r>
          </w:p>
        </w:tc>
        <w:tc>
          <w:tcPr>
            <w:tcW w:w="6426" w:type="dxa"/>
            <w:gridSpan w:val="4"/>
          </w:tcPr>
          <w:p>
            <w:pPr>
              <w:pStyle w:val="TableParagraph"/>
              <w:spacing w:before="85"/>
              <w:ind w:left="107"/>
              <w:rPr>
                <w:sz w:val="21"/>
              </w:rPr>
            </w:pPr>
            <w:r>
              <w:rPr>
                <w:sz w:val="21"/>
              </w:rPr>
              <w:t xml:space="preserve">Shenzhen Stock Exchange</w:t>
            </w:r>
          </w:p>
        </w:tc>
      </w:tr>
      <w:tr>
        <w:trPr>
          <w:trHeight w:val="454" w:hRule="atLeast"/>
        </w:trPr>
        <w:tc>
          <w:tcPr>
            <w:tcW w:w="3213" w:type="dxa"/>
            <w:shd w:val="clear" w:color="auto" w:fill="D2D2D2"/>
          </w:tcPr>
          <w:p>
            <w:pPr>
              <w:pStyle w:val="TableParagraph"/>
              <w:spacing w:before="85"/>
              <w:ind w:left="766"/>
              <w:rPr>
                <w:sz w:val="21"/>
              </w:rPr>
            </w:pPr>
            <w:r>
              <w:rPr>
                <w:sz w:val="21"/>
              </w:rPr>
              <w:t xml:space="preserve">Contact Persons and Contact Details</w:t>
            </w:r>
          </w:p>
        </w:tc>
        <w:tc>
          <w:tcPr>
            <w:tcW w:w="3213" w:type="dxa"/>
            <w:gridSpan w:val="2"/>
            <w:shd w:val="clear" w:color="auto" w:fill="D2D2D2"/>
          </w:tcPr>
          <w:p>
            <w:pPr>
              <w:pStyle w:val="TableParagraph"/>
              <w:spacing w:before="85"/>
              <w:ind w:left="4"/>
              <w:jc w:val="center"/>
              <w:rPr>
                <w:sz w:val="21"/>
              </w:rPr>
            </w:pPr>
            <w:r>
              <w:rPr>
                <w:sz w:val="21"/>
              </w:rPr>
              <w:t xml:space="preserve">Board Secretary</w:t>
            </w:r>
          </w:p>
        </w:tc>
        <w:tc>
          <w:tcPr>
            <w:tcW w:w="3213" w:type="dxa"/>
            <w:gridSpan w:val="2"/>
            <w:shd w:val="clear" w:color="auto" w:fill="D2D2D2"/>
          </w:tcPr>
          <w:p>
            <w:pPr>
              <w:pStyle w:val="TableParagraph"/>
              <w:spacing w:before="85"/>
              <w:ind w:left="976"/>
              <w:rPr>
                <w:sz w:val="21"/>
              </w:rPr>
            </w:pPr>
            <w:r>
              <w:rPr>
                <w:sz w:val="21"/>
              </w:rPr>
              <w:t xml:space="preserve">Securities Affairs Representative</w:t>
            </w:r>
          </w:p>
        </w:tc>
      </w:tr>
      <w:tr>
        <w:trPr>
          <w:trHeight w:val="453" w:hRule="atLeast"/>
        </w:trPr>
        <w:tc>
          <w:tcPr>
            <w:tcW w:w="3213" w:type="dxa"/>
            <w:shd w:val="clear" w:color="auto" w:fill="D2D2D2"/>
          </w:tcPr>
          <w:p>
            <w:pPr>
              <w:pStyle w:val="TableParagraph"/>
              <w:spacing w:before="84"/>
              <w:ind w:left="106"/>
              <w:rPr>
                <w:sz w:val="21"/>
              </w:rPr>
            </w:pPr>
            <w:r>
              <w:rPr>
                <w:sz w:val="21"/>
              </w:rPr>
              <w:t xml:space="preserve">Name</w:t>
            </w:r>
          </w:p>
        </w:tc>
        <w:tc>
          <w:tcPr>
            <w:tcW w:w="3213" w:type="dxa"/>
            <w:gridSpan w:val="2"/>
          </w:tcPr>
          <w:p>
            <w:pPr>
              <w:pStyle w:val="TableParagraph"/>
              <w:spacing w:before="84"/>
              <w:ind w:left="107"/>
              <w:rPr>
                <w:sz w:val="21"/>
              </w:rPr>
            </w:pPr>
            <w:r>
              <w:rPr>
                <w:sz w:val="21"/>
              </w:rPr>
              <w:t xml:space="preserve">Qin Yongji</w:t>
            </w:r>
          </w:p>
        </w:tc>
        <w:tc>
          <w:tcPr>
            <w:tcW w:w="3213" w:type="dxa"/>
            <w:gridSpan w:val="2"/>
          </w:tcPr>
          <w:p>
            <w:pPr>
              <w:pStyle w:val="TableParagraph"/>
              <w:spacing w:before="84"/>
              <w:ind w:left="107"/>
              <w:rPr>
                <w:sz w:val="21"/>
              </w:rPr>
            </w:pPr>
            <w:r>
              <w:rPr>
                <w:sz w:val="21"/>
              </w:rPr>
              <w:t xml:space="preserve">Long Kangli</w:t>
            </w:r>
          </w:p>
        </w:tc>
      </w:tr>
      <w:tr>
        <w:trPr>
          <w:trHeight w:val="453" w:hRule="atLeast"/>
        </w:trPr>
        <w:tc>
          <w:tcPr>
            <w:tcW w:w="3213" w:type="dxa"/>
            <w:shd w:val="clear" w:color="auto" w:fill="D2D2D2"/>
          </w:tcPr>
          <w:p>
            <w:pPr>
              <w:pStyle w:val="TableParagraph"/>
              <w:spacing w:before="86"/>
              <w:ind w:left="106"/>
              <w:rPr>
                <w:sz w:val="21"/>
              </w:rPr>
            </w:pPr>
            <w:r>
              <w:rPr>
                <w:sz w:val="21"/>
              </w:rPr>
              <w:t xml:space="preserve">Telephone</w:t>
            </w:r>
          </w:p>
        </w:tc>
        <w:tc>
          <w:tcPr>
            <w:tcW w:w="3213" w:type="dxa"/>
            <w:gridSpan w:val="2"/>
          </w:tcPr>
          <w:p>
            <w:pPr>
              <w:pStyle w:val="TableParagraph"/>
              <w:spacing w:before="104"/>
              <w:ind w:left="107"/>
              <w:rPr>
                <w:rFonts w:ascii="Times New Roman"/>
                <w:sz w:val="21"/>
              </w:rPr>
            </w:pPr>
            <w:r>
              <w:rPr>
                <w:rFonts w:ascii="Times New Roman"/>
                <w:spacing w:val="-2"/>
                <w:sz w:val="21"/>
              </w:rPr>
              <w:t>0371-68860708</w:t>
            </w:r>
          </w:p>
        </w:tc>
        <w:tc>
          <w:tcPr>
            <w:tcW w:w="3213" w:type="dxa"/>
            <w:gridSpan w:val="2"/>
          </w:tcPr>
          <w:p>
            <w:pPr>
              <w:pStyle w:val="TableParagraph"/>
              <w:spacing w:before="104"/>
              <w:ind w:left="107"/>
              <w:rPr>
                <w:rFonts w:ascii="Times New Roman"/>
                <w:sz w:val="21"/>
              </w:rPr>
            </w:pPr>
            <w:r>
              <w:rPr>
                <w:rFonts w:ascii="Times New Roman"/>
                <w:spacing w:val="-2"/>
                <w:sz w:val="21"/>
              </w:rPr>
              <w:t>0371-68860708</w:t>
            </w:r>
          </w:p>
        </w:tc>
      </w:tr>
      <w:tr>
        <w:trPr>
          <w:trHeight w:val="480" w:hRule="atLeast"/>
        </w:trPr>
        <w:tc>
          <w:tcPr>
            <w:tcW w:w="3213" w:type="dxa"/>
            <w:shd w:val="clear" w:color="auto" w:fill="D2D2D2"/>
          </w:tcPr>
          <w:p>
            <w:pPr>
              <w:pStyle w:val="TableParagraph"/>
              <w:spacing w:before="97"/>
              <w:ind w:left="106"/>
              <w:rPr>
                <w:sz w:val="21"/>
              </w:rPr>
            </w:pPr>
            <w:r>
              <w:rPr>
                <w:sz w:val="21"/>
              </w:rPr>
              <w:t xml:space="preserve">Office Address</w:t>
            </w:r>
          </w:p>
        </w:tc>
        <w:tc>
          <w:tcPr>
            <w:tcW w:w="3213" w:type="dxa"/>
            <w:gridSpan w:val="2"/>
          </w:tcPr>
          <w:p>
            <w:pPr>
              <w:pStyle w:val="TableParagraph"/>
              <w:spacing w:line="234" w:lineRule="exact"/>
              <w:ind w:left="107"/>
              <w:rPr>
                <w:sz w:val="21"/>
              </w:rPr>
            </w:pPr>
            <w:r>
              <w:rPr>
                <w:sz w:val="21"/>
              </w:rPr>
              <w:t xml:space="preserve">Songshan South Road, Erqi District, Zhengzhou City, Henan Province</w:t>
            </w:r>
          </w:p>
          <w:p>
            <w:pPr>
              <w:pStyle w:val="TableParagraph"/>
              <w:spacing w:line="226" w:lineRule="exact"/>
              <w:ind w:left="107"/>
              <w:rPr>
                <w:sz w:val="21"/>
              </w:rPr>
            </w:pPr>
            <w:r>
              <w:rPr>
                <w:rFonts w:ascii="Times New Roman" w:hAnsi="Times New Roman"/>
                <w:sz w:val="21"/>
              </w:rPr>
              <w:t xml:space="preserve">198-19 </w:t>
            </w:r>
            <w:r>
              <w:rPr>
                <w:sz w:val="21"/>
              </w:rPr>
              <w:t xml:space="preserve">No., Oriental Building </w:t>
            </w:r>
            <w:r>
              <w:rPr>
                <w:rFonts w:ascii="Times New Roman" w:hAnsi="Times New Roman"/>
                <w:sz w:val="21"/>
              </w:rPr>
              <w:t xml:space="preserve">6 </w:t>
            </w:r>
            <w:r>
              <w:rPr>
                <w:sz w:val="21"/>
              </w:rPr>
              <w:t xml:space="preserve">Floor </w:t>
            </w:r>
            <w:r>
              <w:rPr>
                <w:rFonts w:ascii="Times New Roman" w:hAnsi="Times New Roman"/>
                <w:sz w:val="21"/>
              </w:rPr>
              <w:t xml:space="preserve">601 </w:t>
            </w:r>
            <w:r>
              <w:rPr>
                <w:sz w:val="21"/>
              </w:rPr>
              <w:t xml:space="preserve">Suite</w:t>
            </w:r>
          </w:p>
        </w:tc>
        <w:tc>
          <w:tcPr>
            <w:tcW w:w="3213" w:type="dxa"/>
            <w:gridSpan w:val="2"/>
          </w:tcPr>
          <w:p>
            <w:pPr>
              <w:pStyle w:val="TableParagraph"/>
              <w:spacing w:line="234" w:lineRule="exact"/>
              <w:ind w:left="107"/>
              <w:rPr>
                <w:sz w:val="21"/>
              </w:rPr>
            </w:pPr>
            <w:r>
              <w:rPr>
                <w:sz w:val="21"/>
              </w:rPr>
              <w:t xml:space="preserve">Songshan South Road, Erqi District, Zhengzhou City, Henan Province</w:t>
            </w:r>
          </w:p>
          <w:p>
            <w:pPr>
              <w:pStyle w:val="TableParagraph"/>
              <w:spacing w:line="226" w:lineRule="exact"/>
              <w:ind w:left="107"/>
              <w:rPr>
                <w:sz w:val="21"/>
              </w:rPr>
            </w:pPr>
            <w:r>
              <w:rPr>
                <w:rFonts w:ascii="Times New Roman" w:hAnsi="Times New Roman"/>
                <w:sz w:val="21"/>
              </w:rPr>
              <w:t xml:space="preserve">198-19 </w:t>
            </w:r>
            <w:r>
              <w:rPr>
                <w:sz w:val="21"/>
              </w:rPr>
              <w:t xml:space="preserve">No., Oriental Building </w:t>
            </w:r>
            <w:r>
              <w:rPr>
                <w:rFonts w:ascii="Times New Roman" w:hAnsi="Times New Roman"/>
                <w:sz w:val="21"/>
              </w:rPr>
              <w:t xml:space="preserve">6 </w:t>
            </w:r>
            <w:r>
              <w:rPr>
                <w:sz w:val="21"/>
              </w:rPr>
              <w:t xml:space="preserve">Floor </w:t>
            </w:r>
            <w:r>
              <w:rPr>
                <w:rFonts w:ascii="Times New Roman" w:hAnsi="Times New Roman"/>
                <w:sz w:val="21"/>
              </w:rPr>
              <w:t xml:space="preserve">601 </w:t>
            </w:r>
            <w:r>
              <w:rPr>
                <w:sz w:val="21"/>
              </w:rPr>
              <w:t xml:space="preserve">Suite</w:t>
            </w:r>
          </w:p>
        </w:tc>
      </w:tr>
      <w:tr>
        <w:trPr>
          <w:trHeight w:val="454" w:hRule="atLeast"/>
        </w:trPr>
        <w:tc>
          <w:tcPr>
            <w:tcW w:w="3213" w:type="dxa"/>
            <w:shd w:val="clear" w:color="auto" w:fill="D2D2D2"/>
          </w:tcPr>
          <w:p>
            <w:pPr>
              <w:pStyle w:val="TableParagraph"/>
              <w:spacing w:before="85"/>
              <w:ind w:left="106"/>
              <w:rPr>
                <w:sz w:val="21"/>
              </w:rPr>
            </w:pPr>
            <w:r>
              <w:rPr>
                <w:sz w:val="21"/>
              </w:rPr>
              <w:t xml:space="preserve">E-mail</w:t>
            </w:r>
          </w:p>
        </w:tc>
        <w:tc>
          <w:tcPr>
            <w:tcW w:w="3213" w:type="dxa"/>
            <w:gridSpan w:val="2"/>
          </w:tcPr>
          <w:p>
            <w:pPr>
              <w:pStyle w:val="TableParagraph"/>
              <w:spacing w:before="103"/>
              <w:ind w:left="107"/>
              <w:rPr>
                <w:rFonts w:ascii="Times New Roman"/>
                <w:sz w:val="21"/>
              </w:rPr>
            </w:pPr>
            <w:hyperlink r:id="rId7">
              <w:r>
                <w:rPr>
                  <w:rFonts w:ascii="Times New Roman"/>
                  <w:spacing w:val="-2"/>
                  <w:sz w:val="21"/>
                </w:rPr>
                <w:t>IR@ziel.cn</w:t>
              </w:r>
            </w:hyperlink>
          </w:p>
        </w:tc>
        <w:tc>
          <w:tcPr>
            <w:tcW w:w="3213" w:type="dxa"/>
            <w:gridSpan w:val="2"/>
          </w:tcPr>
          <w:p>
            <w:pPr>
              <w:pStyle w:val="TableParagraph"/>
              <w:spacing w:before="103"/>
              <w:ind w:left="107"/>
              <w:rPr>
                <w:rFonts w:ascii="Times New Roman"/>
                <w:sz w:val="21"/>
              </w:rPr>
            </w:pPr>
            <w:hyperlink r:id="rId7">
              <w:r>
                <w:rPr>
                  <w:rFonts w:ascii="Times New Roman"/>
                  <w:spacing w:val="-2"/>
                  <w:sz w:val="21"/>
                </w:rPr>
                <w:t>IR@ziel.cn</w:t>
              </w:r>
            </w:hyperlink>
          </w:p>
        </w:tc>
      </w:tr>
    </w:tbl>
    <w:p>
      <w:pPr>
        <w:spacing w:before="283"/>
        <w:ind w:left="140" w:right="0" w:firstLine="0"/>
        <w:jc w:val="left"/>
        <w:rPr>
          <w:b/>
          <w:sz w:val="24"/>
        </w:rPr>
      </w:pPr>
      <w:bookmarkStart w:name="2、主要会计数据和财务指标" w:id="4"/>
      <w:bookmarkEnd w:id="4"/>
      <w:r>
        <w:rPr>
          <w:b/>
          <w:sz w:val="24"/>
        </w:rPr>
        <w:t xml:space="preserve">2. Principal Accounting Data and Financial Indicators</w:t>
      </w:r>
    </w:p>
    <w:p>
      <w:pPr>
        <w:pStyle w:val="BodyText"/>
        <w:spacing w:before="53"/>
        <w:rPr>
          <w:b/>
        </w:rPr>
      </w:pPr>
    </w:p>
    <w:p>
      <w:pPr>
        <w:pStyle w:val="BodyText"/>
        <w:ind w:left="140"/>
      </w:pPr>
      <w:r>
        <w:rPr>
          <w:spacing w:val="-1"/>
        </w:rPr>
        <w:t xml:space="preserve">Whether retrospective adjustment or restatement of prior-year accounting data is required</w:t>
      </w:r>
    </w:p>
    <w:p>
      <w:pPr>
        <w:pStyle w:val="BodyText"/>
        <w:spacing w:before="156"/>
        <w:ind w:left="140"/>
      </w:pPr>
      <w:r>
        <w:rPr>
          <w:spacing w:val="-26"/>
        </w:rPr>
        <w:t xml:space="preserve">□Yes </w:t>
      </w:r>
      <w:r>
        <w:rPr>
          <w:rFonts w:ascii="Wingdings 2" w:hAnsi="Wingdings 2"/>
          <w:spacing w:val="-26"/>
        </w:rPr>
        <w:t xml:space="preserve">☑</w:t>
      </w:r>
      <w:r>
        <w:rPr>
          <w:spacing w:val="-26"/>
        </w:rPr>
        <w:t xml:space="preserve">No</w:t>
      </w:r>
    </w:p>
    <w:p>
      <w:pPr>
        <w:pStyle w:val="BodyText"/>
        <w:spacing w:before="2"/>
        <w:rPr>
          <w:sz w:val="6"/>
        </w:rPr>
      </w:pPr>
    </w:p>
    <w:tbl>
      <w:tblPr>
        <w:tblW w:w="0" w:type="auto"/>
        <w:jc w:val="left"/>
        <w:tblInd w:w="3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Look w:val="01E0"/>
      </w:tblPr>
      <w:tblGrid>
        <w:gridCol w:w="3856"/>
        <w:gridCol w:w="1928"/>
        <w:gridCol w:w="1928"/>
        <w:gridCol w:w="1928"/>
      </w:tblGrid>
      <w:tr>
        <w:trPr>
          <w:trHeight w:val="560" w:hRule="atLeast"/>
        </w:trPr>
        <w:tc>
          <w:tcPr>
            <w:tcW w:w="3856" w:type="dxa"/>
            <w:shd w:val="clear" w:color="auto" w:fill="D2D2D2"/>
          </w:tcPr>
          <w:p>
            <w:pPr>
              <w:pStyle w:val="TableParagraph"/>
              <w:rPr>
                <w:rFonts w:ascii="Times New Roman"/>
                <w:sz w:val="22"/>
              </w:rPr>
            </w:pPr>
          </w:p>
        </w:tc>
        <w:tc>
          <w:tcPr>
            <w:tcW w:w="1928" w:type="dxa"/>
            <w:shd w:val="clear" w:color="auto" w:fill="D2D2D2"/>
          </w:tcPr>
          <w:p>
            <w:pPr>
              <w:pStyle w:val="TableParagraph"/>
              <w:spacing w:before="138"/>
              <w:ind w:left="544"/>
              <w:rPr>
                <w:sz w:val="21"/>
              </w:rPr>
            </w:pPr>
            <w:r>
              <w:rPr>
                <w:sz w:val="21"/>
              </w:rPr>
              <w:t xml:space="preserve">Reporting Period</w:t>
            </w:r>
          </w:p>
        </w:tc>
        <w:tc>
          <w:tcPr>
            <w:tcW w:w="1928" w:type="dxa"/>
            <w:shd w:val="clear" w:color="auto" w:fill="D2D2D2"/>
          </w:tcPr>
          <w:p>
            <w:pPr>
              <w:pStyle w:val="TableParagraph"/>
              <w:spacing w:before="138"/>
              <w:ind w:left="543"/>
              <w:rPr>
                <w:sz w:val="21"/>
              </w:rPr>
            </w:pPr>
            <w:r>
              <w:rPr>
                <w:sz w:val="21"/>
              </w:rPr>
              <w:t xml:space="preserve">Same Period Last Year</w:t>
            </w:r>
          </w:p>
        </w:tc>
        <w:tc>
          <w:tcPr>
            <w:tcW w:w="1928" w:type="dxa"/>
            <w:shd w:val="clear" w:color="auto" w:fill="D2D2D2"/>
          </w:tcPr>
          <w:p>
            <w:pPr>
              <w:pStyle w:val="TableParagraph"/>
              <w:spacing w:before="44" w:line="211" w:lineRule="auto"/>
              <w:ind w:left="648" w:right="120" w:hanging="526"/>
              <w:rPr>
                <w:sz w:val="21"/>
              </w:rPr>
            </w:pPr>
            <w:r>
              <w:rPr>
                <w:sz w:val="21"/>
              </w:rPr>
              <w:t xml:space="preserve">Change Compared with Same Period Last Year</w:t>
            </w:r>
          </w:p>
        </w:tc>
      </w:tr>
      <w:tr>
        <w:trPr>
          <w:trHeight w:val="454" w:hRule="atLeast"/>
        </w:trPr>
        <w:tc>
          <w:tcPr>
            <w:tcW w:w="3856" w:type="dxa"/>
            <w:shd w:val="clear" w:color="auto" w:fill="D2D2D2"/>
          </w:tcPr>
          <w:p>
            <w:pPr>
              <w:pStyle w:val="TableParagraph"/>
              <w:spacing w:before="84"/>
              <w:ind w:left="106"/>
              <w:rPr>
                <w:sz w:val="21"/>
              </w:rPr>
            </w:pPr>
            <w:r>
              <w:rPr>
                <w:sz w:val="21"/>
              </w:rPr>
              <w:t xml:space="preserve">revenue (RMB)</w:t>
            </w:r>
          </w:p>
        </w:tc>
        <w:tc>
          <w:tcPr>
            <w:tcW w:w="1928" w:type="dxa"/>
          </w:tcPr>
          <w:p>
            <w:pPr>
              <w:pStyle w:val="TableParagraph"/>
              <w:spacing w:before="102"/>
              <w:ind w:right="103"/>
              <w:jc w:val="right"/>
              <w:rPr>
                <w:rFonts w:ascii="Times New Roman"/>
                <w:sz w:val="21"/>
              </w:rPr>
            </w:pPr>
            <w:r>
              <w:rPr>
                <w:rFonts w:ascii="Times New Roman"/>
                <w:spacing w:val="-2"/>
                <w:sz w:val="21"/>
              </w:rPr>
              <w:t>4,825,634,589.03</w:t>
            </w:r>
          </w:p>
        </w:tc>
        <w:tc>
          <w:tcPr>
            <w:tcW w:w="1928" w:type="dxa"/>
          </w:tcPr>
          <w:p>
            <w:pPr>
              <w:pStyle w:val="TableParagraph"/>
              <w:spacing w:before="102"/>
              <w:ind w:right="104"/>
              <w:jc w:val="right"/>
              <w:rPr>
                <w:rFonts w:ascii="Times New Roman"/>
                <w:sz w:val="21"/>
              </w:rPr>
            </w:pPr>
            <w:r>
              <w:rPr>
                <w:rFonts w:ascii="Times New Roman"/>
                <w:spacing w:val="-2"/>
                <w:sz w:val="21"/>
              </w:rPr>
              <w:t>4,044,161,058.60</w:t>
            </w:r>
          </w:p>
        </w:tc>
        <w:tc>
          <w:tcPr>
            <w:tcW w:w="1928" w:type="dxa"/>
          </w:tcPr>
          <w:p>
            <w:pPr>
              <w:pStyle w:val="TableParagraph"/>
              <w:spacing w:before="102"/>
              <w:ind w:right="102"/>
              <w:jc w:val="right"/>
              <w:rPr>
                <w:rFonts w:ascii="Times New Roman"/>
                <w:sz w:val="21"/>
              </w:rPr>
            </w:pPr>
            <w:r>
              <w:rPr>
                <w:rFonts w:ascii="Times New Roman"/>
                <w:spacing w:val="-2"/>
                <w:sz w:val="21"/>
              </w:rPr>
              <w:t>19.32%</w:t>
            </w:r>
          </w:p>
        </w:tc>
      </w:tr>
      <w:tr>
        <w:trPr>
          <w:trHeight w:val="453" w:hRule="atLeast"/>
        </w:trPr>
        <w:tc>
          <w:tcPr>
            <w:tcW w:w="3856" w:type="dxa"/>
            <w:shd w:val="clear" w:color="auto" w:fill="D2D2D2"/>
          </w:tcPr>
          <w:p>
            <w:pPr>
              <w:pStyle w:val="TableParagraph"/>
              <w:spacing w:before="86"/>
              <w:ind w:left="106"/>
              <w:rPr>
                <w:sz w:val="21"/>
              </w:rPr>
            </w:pPr>
            <w:r>
              <w:rPr>
                <w:sz w:val="21"/>
              </w:rPr>
              <w:t xml:space="preserve">net profit attributable to owners of the Company (RMB)</w:t>
            </w:r>
          </w:p>
        </w:tc>
        <w:tc>
          <w:tcPr>
            <w:tcW w:w="1928" w:type="dxa"/>
          </w:tcPr>
          <w:p>
            <w:pPr>
              <w:pStyle w:val="TableParagraph"/>
              <w:spacing w:before="104"/>
              <w:ind w:right="103"/>
              <w:jc w:val="right"/>
              <w:rPr>
                <w:rFonts w:ascii="Times New Roman"/>
                <w:sz w:val="21"/>
              </w:rPr>
            </w:pPr>
            <w:r>
              <w:rPr>
                <w:rFonts w:ascii="Times New Roman"/>
                <w:spacing w:val="-2"/>
                <w:sz w:val="21"/>
              </w:rPr>
              <w:t>245,987,255.17</w:t>
            </w:r>
          </w:p>
        </w:tc>
        <w:tc>
          <w:tcPr>
            <w:tcW w:w="1928" w:type="dxa"/>
          </w:tcPr>
          <w:p>
            <w:pPr>
              <w:pStyle w:val="TableParagraph"/>
              <w:spacing w:before="104"/>
              <w:ind w:right="104"/>
              <w:jc w:val="right"/>
              <w:rPr>
                <w:rFonts w:ascii="Times New Roman"/>
                <w:sz w:val="21"/>
              </w:rPr>
            </w:pPr>
            <w:r>
              <w:rPr>
                <w:rFonts w:ascii="Times New Roman"/>
                <w:spacing w:val="-2"/>
                <w:sz w:val="21"/>
              </w:rPr>
              <w:t>190,452,568.35</w:t>
            </w:r>
          </w:p>
        </w:tc>
        <w:tc>
          <w:tcPr>
            <w:tcW w:w="1928" w:type="dxa"/>
          </w:tcPr>
          <w:p>
            <w:pPr>
              <w:pStyle w:val="TableParagraph"/>
              <w:spacing w:before="104"/>
              <w:ind w:right="102"/>
              <w:jc w:val="right"/>
              <w:rPr>
                <w:rFonts w:ascii="Times New Roman"/>
                <w:sz w:val="21"/>
              </w:rPr>
            </w:pPr>
            <w:r>
              <w:rPr>
                <w:rFonts w:ascii="Times New Roman"/>
                <w:spacing w:val="-2"/>
                <w:sz w:val="21"/>
              </w:rPr>
              <w:t>29.16%</w:t>
            </w:r>
          </w:p>
        </w:tc>
      </w:tr>
      <w:tr>
        <w:trPr>
          <w:trHeight w:val="557" w:hRule="atLeast"/>
        </w:trPr>
        <w:tc>
          <w:tcPr>
            <w:tcW w:w="3856" w:type="dxa"/>
            <w:shd w:val="clear" w:color="auto" w:fill="D2D2D2"/>
          </w:tcPr>
          <w:p>
            <w:pPr>
              <w:pStyle w:val="TableParagraph"/>
              <w:spacing w:before="44" w:line="211" w:lineRule="auto"/>
              <w:ind w:left="106" w:right="173"/>
              <w:rPr>
                <w:sz w:val="21"/>
              </w:rPr>
            </w:pPr>
            <w:r>
              <w:rPr>
                <w:sz w:val="21"/>
              </w:rPr>
              <w:t xml:space="preserve">net profit after non-recurring items (RMB)</w:t>
            </w:r>
          </w:p>
        </w:tc>
        <w:tc>
          <w:tcPr>
            <w:tcW w:w="1928" w:type="dxa"/>
          </w:tcPr>
          <w:p>
            <w:pPr>
              <w:pStyle w:val="TableParagraph"/>
              <w:spacing w:before="156"/>
              <w:ind w:right="103"/>
              <w:jc w:val="right"/>
              <w:rPr>
                <w:rFonts w:ascii="Times New Roman"/>
                <w:sz w:val="21"/>
              </w:rPr>
            </w:pPr>
            <w:r>
              <w:rPr>
                <w:rFonts w:ascii="Times New Roman"/>
                <w:spacing w:val="-2"/>
                <w:sz w:val="21"/>
              </w:rPr>
              <w:t>195,483,685.73</w:t>
            </w:r>
          </w:p>
        </w:tc>
        <w:tc>
          <w:tcPr>
            <w:tcW w:w="1928" w:type="dxa"/>
          </w:tcPr>
          <w:p>
            <w:pPr>
              <w:pStyle w:val="TableParagraph"/>
              <w:spacing w:before="156"/>
              <w:ind w:right="104"/>
              <w:jc w:val="right"/>
              <w:rPr>
                <w:rFonts w:ascii="Times New Roman"/>
                <w:sz w:val="21"/>
              </w:rPr>
            </w:pPr>
            <w:r>
              <w:rPr>
                <w:rFonts w:ascii="Times New Roman"/>
                <w:spacing w:val="-2"/>
                <w:sz w:val="21"/>
              </w:rPr>
              <w:t>223,533,409.85</w:t>
            </w:r>
          </w:p>
        </w:tc>
        <w:tc>
          <w:tcPr>
            <w:tcW w:w="1928" w:type="dxa"/>
          </w:tcPr>
          <w:p>
            <w:pPr>
              <w:pStyle w:val="TableParagraph"/>
              <w:spacing w:before="156"/>
              <w:ind w:right="102"/>
              <w:jc w:val="right"/>
              <w:rPr>
                <w:rFonts w:ascii="Times New Roman"/>
                <w:sz w:val="21"/>
              </w:rPr>
            </w:pPr>
            <w:r>
              <w:rPr>
                <w:rFonts w:ascii="Times New Roman"/>
                <w:spacing w:val="-2"/>
                <w:sz w:val="21"/>
              </w:rPr>
              <w:t>-12.55%</w:t>
            </w:r>
          </w:p>
        </w:tc>
      </w:tr>
    </w:tbl>
    <w:p>
      <w:pPr>
        <w:pStyle w:val="TableParagraph"/>
        <w:spacing w:after="0"/>
        <w:jc w:val="right"/>
        <w:rPr>
          <w:rFonts w:ascii="Times New Roman"/>
          <w:sz w:val="21"/>
        </w:rPr>
        <w:sectPr>
          <w:pgSz w:w="11910" w:h="16840"/>
          <w:pgMar w:top="1400" w:right="1133" w:bottom="1180" w:left="992" w:header="878" w:footer="999"/>
        </w:sectPr>
      </w:pPr>
    </w:p>
    <w:p>
      <w:pPr>
        <w:pStyle w:val="BodyText"/>
        <w:spacing w:before="12"/>
        <w:rPr>
          <w:sz w:val="2"/>
        </w:rPr>
      </w:pPr>
    </w:p>
    <w:tbl>
      <w:tblPr>
        <w:tblW w:w="0" w:type="auto"/>
        <w:jc w:val="left"/>
        <w:tblInd w:w="3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Look w:val="01E0"/>
      </w:tblPr>
      <w:tblGrid>
        <w:gridCol w:w="3856"/>
        <w:gridCol w:w="1928"/>
        <w:gridCol w:w="1928"/>
        <w:gridCol w:w="1928"/>
      </w:tblGrid>
      <w:tr>
        <w:trPr>
          <w:trHeight w:val="453" w:hRule="atLeast"/>
        </w:trPr>
        <w:tc>
          <w:tcPr>
            <w:tcW w:w="3856" w:type="dxa"/>
            <w:shd w:val="clear" w:color="auto" w:fill="D2D2D2"/>
          </w:tcPr>
          <w:p>
            <w:pPr>
              <w:pStyle w:val="TableParagraph"/>
              <w:spacing w:before="84"/>
              <w:ind w:left="106"/>
              <w:rPr>
                <w:sz w:val="21"/>
              </w:rPr>
            </w:pPr>
            <w:r>
              <w:rPr>
                <w:sz w:val="21"/>
              </w:rPr>
              <w:t xml:space="preserve">net cash flows from operating activities (RMB)</w:t>
            </w:r>
          </w:p>
        </w:tc>
        <w:tc>
          <w:tcPr>
            <w:tcW w:w="1928" w:type="dxa"/>
          </w:tcPr>
          <w:p>
            <w:pPr>
              <w:pStyle w:val="TableParagraph"/>
              <w:spacing w:before="102"/>
              <w:ind w:right="103"/>
              <w:jc w:val="right"/>
              <w:rPr>
                <w:rFonts w:ascii="Times New Roman"/>
                <w:sz w:val="21"/>
              </w:rPr>
            </w:pPr>
            <w:r>
              <w:rPr>
                <w:rFonts w:ascii="Times New Roman"/>
                <w:spacing w:val="-2"/>
                <w:sz w:val="21"/>
              </w:rPr>
              <w:t>1,674,022,386.93</w:t>
            </w:r>
          </w:p>
        </w:tc>
        <w:tc>
          <w:tcPr>
            <w:tcW w:w="1928" w:type="dxa"/>
          </w:tcPr>
          <w:p>
            <w:pPr>
              <w:pStyle w:val="TableParagraph"/>
              <w:spacing w:before="102"/>
              <w:ind w:right="104"/>
              <w:jc w:val="right"/>
              <w:rPr>
                <w:rFonts w:ascii="Times New Roman"/>
                <w:sz w:val="21"/>
              </w:rPr>
            </w:pPr>
            <w:r>
              <w:rPr>
                <w:rFonts w:ascii="Times New Roman"/>
                <w:spacing w:val="-2"/>
                <w:sz w:val="21"/>
              </w:rPr>
              <w:t>1,489,331,063.39</w:t>
            </w:r>
          </w:p>
        </w:tc>
        <w:tc>
          <w:tcPr>
            <w:tcW w:w="1928" w:type="dxa"/>
          </w:tcPr>
          <w:p>
            <w:pPr>
              <w:pStyle w:val="TableParagraph"/>
              <w:spacing w:before="102"/>
              <w:ind w:right="102"/>
              <w:jc w:val="right"/>
              <w:rPr>
                <w:rFonts w:ascii="Times New Roman"/>
                <w:sz w:val="21"/>
              </w:rPr>
            </w:pPr>
            <w:r>
              <w:rPr>
                <w:rFonts w:ascii="Times New Roman"/>
                <w:spacing w:val="-2"/>
                <w:sz w:val="21"/>
              </w:rPr>
              <w:t>12.40%</w:t>
            </w:r>
          </w:p>
        </w:tc>
      </w:tr>
      <w:tr>
        <w:trPr>
          <w:trHeight w:val="454" w:hRule="atLeast"/>
        </w:trPr>
        <w:tc>
          <w:tcPr>
            <w:tcW w:w="3856" w:type="dxa"/>
            <w:shd w:val="clear" w:color="auto" w:fill="D2D2D2"/>
          </w:tcPr>
          <w:p>
            <w:pPr>
              <w:pStyle w:val="TableParagraph"/>
              <w:spacing w:before="84"/>
              <w:ind w:left="106"/>
              <w:rPr>
                <w:sz w:val="21"/>
              </w:rPr>
            </w:pPr>
            <w:r>
              <w:rPr>
                <w:sz w:val="21"/>
              </w:rPr>
              <w:t xml:space="preserve">basic earnings per share (RMB</w:t>
            </w:r>
            <w:r>
              <w:rPr>
                <w:rFonts w:ascii="Times New Roman" w:hAnsi="Times New Roman"/>
                <w:sz w:val="21"/>
              </w:rPr>
              <w:t xml:space="preserve">/</w:t>
            </w:r>
            <w:r>
              <w:rPr>
                <w:sz w:val="21"/>
              </w:rPr>
              <w:t xml:space="preserve">share)</w:t>
            </w:r>
          </w:p>
        </w:tc>
        <w:tc>
          <w:tcPr>
            <w:tcW w:w="1928" w:type="dxa"/>
          </w:tcPr>
          <w:p>
            <w:pPr>
              <w:pStyle w:val="TableParagraph"/>
              <w:spacing w:before="102"/>
              <w:ind w:right="103"/>
              <w:jc w:val="right"/>
              <w:rPr>
                <w:rFonts w:ascii="Times New Roman"/>
                <w:sz w:val="21"/>
              </w:rPr>
            </w:pPr>
            <w:r>
              <w:rPr>
                <w:rFonts w:ascii="Times New Roman"/>
                <w:spacing w:val="-4"/>
                <w:sz w:val="21"/>
              </w:rPr>
              <w:t>0.61</w:t>
            </w:r>
          </w:p>
        </w:tc>
        <w:tc>
          <w:tcPr>
            <w:tcW w:w="1928" w:type="dxa"/>
          </w:tcPr>
          <w:p>
            <w:pPr>
              <w:pStyle w:val="TableParagraph"/>
              <w:spacing w:before="102"/>
              <w:ind w:right="104"/>
              <w:jc w:val="right"/>
              <w:rPr>
                <w:rFonts w:ascii="Times New Roman"/>
                <w:sz w:val="21"/>
              </w:rPr>
            </w:pPr>
            <w:r>
              <w:rPr>
                <w:rFonts w:ascii="Times New Roman"/>
                <w:spacing w:val="-4"/>
                <w:sz w:val="21"/>
              </w:rPr>
              <w:t>0.47</w:t>
            </w:r>
          </w:p>
        </w:tc>
        <w:tc>
          <w:tcPr>
            <w:tcW w:w="1928" w:type="dxa"/>
          </w:tcPr>
          <w:p>
            <w:pPr>
              <w:pStyle w:val="TableParagraph"/>
              <w:spacing w:before="102"/>
              <w:ind w:right="102"/>
              <w:jc w:val="right"/>
              <w:rPr>
                <w:rFonts w:ascii="Times New Roman"/>
                <w:sz w:val="21"/>
              </w:rPr>
            </w:pPr>
            <w:r>
              <w:rPr>
                <w:rFonts w:ascii="Times New Roman"/>
                <w:spacing w:val="-2"/>
                <w:sz w:val="21"/>
              </w:rPr>
              <w:t>29.79%</w:t>
            </w:r>
          </w:p>
        </w:tc>
      </w:tr>
      <w:tr>
        <w:trPr>
          <w:trHeight w:val="454" w:hRule="atLeast"/>
        </w:trPr>
        <w:tc>
          <w:tcPr>
            <w:tcW w:w="3856" w:type="dxa"/>
            <w:shd w:val="clear" w:color="auto" w:fill="D2D2D2"/>
          </w:tcPr>
          <w:p>
            <w:pPr>
              <w:pStyle w:val="TableParagraph"/>
              <w:spacing w:before="85"/>
              <w:ind w:left="106"/>
              <w:rPr>
                <w:sz w:val="21"/>
              </w:rPr>
            </w:pPr>
            <w:r>
              <w:rPr>
                <w:sz w:val="21"/>
              </w:rPr>
              <w:t xml:space="preserve">diluted earnings per share (RMB</w:t>
            </w:r>
            <w:r>
              <w:rPr>
                <w:rFonts w:ascii="Times New Roman" w:hAnsi="Times New Roman"/>
                <w:sz w:val="21"/>
              </w:rPr>
              <w:t xml:space="preserve">/</w:t>
            </w:r>
            <w:r>
              <w:rPr>
                <w:sz w:val="21"/>
              </w:rPr>
              <w:t xml:space="preserve">share)</w:t>
            </w:r>
          </w:p>
        </w:tc>
        <w:tc>
          <w:tcPr>
            <w:tcW w:w="1928" w:type="dxa"/>
          </w:tcPr>
          <w:p>
            <w:pPr>
              <w:pStyle w:val="TableParagraph"/>
              <w:spacing w:before="103"/>
              <w:ind w:right="103"/>
              <w:jc w:val="right"/>
              <w:rPr>
                <w:rFonts w:ascii="Times New Roman"/>
                <w:sz w:val="21"/>
              </w:rPr>
            </w:pPr>
            <w:r>
              <w:rPr>
                <w:rFonts w:ascii="Times New Roman"/>
                <w:spacing w:val="-4"/>
                <w:sz w:val="21"/>
              </w:rPr>
              <w:t>0.61</w:t>
            </w:r>
          </w:p>
        </w:tc>
        <w:tc>
          <w:tcPr>
            <w:tcW w:w="1928" w:type="dxa"/>
          </w:tcPr>
          <w:p>
            <w:pPr>
              <w:pStyle w:val="TableParagraph"/>
              <w:spacing w:before="103"/>
              <w:ind w:right="104"/>
              <w:jc w:val="right"/>
              <w:rPr>
                <w:rFonts w:ascii="Times New Roman"/>
                <w:sz w:val="21"/>
              </w:rPr>
            </w:pPr>
            <w:r>
              <w:rPr>
                <w:rFonts w:ascii="Times New Roman"/>
                <w:spacing w:val="-4"/>
                <w:sz w:val="21"/>
              </w:rPr>
              <w:t>0.47</w:t>
            </w:r>
          </w:p>
        </w:tc>
        <w:tc>
          <w:tcPr>
            <w:tcW w:w="1928" w:type="dxa"/>
          </w:tcPr>
          <w:p>
            <w:pPr>
              <w:pStyle w:val="TableParagraph"/>
              <w:spacing w:before="103"/>
              <w:ind w:right="102"/>
              <w:jc w:val="right"/>
              <w:rPr>
                <w:rFonts w:ascii="Times New Roman"/>
                <w:sz w:val="21"/>
              </w:rPr>
            </w:pPr>
            <w:r>
              <w:rPr>
                <w:rFonts w:ascii="Times New Roman"/>
                <w:spacing w:val="-2"/>
                <w:sz w:val="21"/>
              </w:rPr>
              <w:t>29.79%</w:t>
            </w:r>
          </w:p>
        </w:tc>
      </w:tr>
      <w:tr>
        <w:trPr>
          <w:trHeight w:val="453" w:hRule="atLeast"/>
        </w:trPr>
        <w:tc>
          <w:tcPr>
            <w:tcW w:w="3856" w:type="dxa"/>
            <w:shd w:val="clear" w:color="auto" w:fill="D2D2D2"/>
          </w:tcPr>
          <w:p>
            <w:pPr>
              <w:pStyle w:val="TableParagraph"/>
              <w:spacing w:before="85"/>
              <w:ind w:left="106"/>
              <w:rPr>
                <w:sz w:val="21"/>
              </w:rPr>
            </w:pPr>
            <w:r>
              <w:rPr>
                <w:sz w:val="21"/>
              </w:rPr>
              <w:t xml:space="preserve">weighted average return on net assets</w:t>
            </w:r>
          </w:p>
        </w:tc>
        <w:tc>
          <w:tcPr>
            <w:tcW w:w="1928" w:type="dxa"/>
          </w:tcPr>
          <w:p>
            <w:pPr>
              <w:pStyle w:val="TableParagraph"/>
              <w:spacing w:before="103"/>
              <w:ind w:right="103"/>
              <w:jc w:val="right"/>
              <w:rPr>
                <w:rFonts w:ascii="Times New Roman"/>
                <w:sz w:val="21"/>
              </w:rPr>
            </w:pPr>
            <w:r>
              <w:rPr>
                <w:rFonts w:ascii="Times New Roman"/>
                <w:spacing w:val="-2"/>
                <w:sz w:val="21"/>
              </w:rPr>
              <w:t>7.08%</w:t>
            </w:r>
          </w:p>
        </w:tc>
        <w:tc>
          <w:tcPr>
            <w:tcW w:w="1928" w:type="dxa"/>
          </w:tcPr>
          <w:p>
            <w:pPr>
              <w:pStyle w:val="TableParagraph"/>
              <w:spacing w:before="103"/>
              <w:ind w:right="101"/>
              <w:jc w:val="right"/>
              <w:rPr>
                <w:rFonts w:ascii="Times New Roman"/>
                <w:sz w:val="21"/>
              </w:rPr>
            </w:pPr>
            <w:r>
              <w:rPr>
                <w:rFonts w:ascii="Times New Roman"/>
                <w:spacing w:val="-2"/>
                <w:sz w:val="21"/>
              </w:rPr>
              <w:t>5.74%</w:t>
            </w:r>
          </w:p>
        </w:tc>
        <w:tc>
          <w:tcPr>
            <w:tcW w:w="1928" w:type="dxa"/>
          </w:tcPr>
          <w:p>
            <w:pPr>
              <w:pStyle w:val="TableParagraph"/>
              <w:spacing w:before="103"/>
              <w:ind w:right="102"/>
              <w:jc w:val="right"/>
              <w:rPr>
                <w:rFonts w:ascii="Times New Roman"/>
                <w:sz w:val="21"/>
              </w:rPr>
            </w:pPr>
            <w:r>
              <w:rPr>
                <w:rFonts w:ascii="Times New Roman"/>
                <w:spacing w:val="-2"/>
                <w:sz w:val="21"/>
              </w:rPr>
              <w:t>1.34%</w:t>
            </w:r>
          </w:p>
        </w:tc>
      </w:tr>
      <w:tr>
        <w:trPr>
          <w:trHeight w:val="560" w:hRule="atLeast"/>
        </w:trPr>
        <w:tc>
          <w:tcPr>
            <w:tcW w:w="3856" w:type="dxa"/>
            <w:shd w:val="clear" w:color="auto" w:fill="D2D2D2"/>
          </w:tcPr>
          <w:p>
            <w:pPr>
              <w:pStyle w:val="TableParagraph"/>
              <w:rPr>
                <w:rFonts w:ascii="Times New Roman"/>
                <w:sz w:val="20"/>
              </w:rPr>
            </w:pPr>
          </w:p>
        </w:tc>
        <w:tc>
          <w:tcPr>
            <w:tcW w:w="1928" w:type="dxa"/>
            <w:shd w:val="clear" w:color="auto" w:fill="D2D2D2"/>
          </w:tcPr>
          <w:p>
            <w:pPr>
              <w:pStyle w:val="TableParagraph"/>
              <w:spacing w:before="137"/>
              <w:ind w:left="438"/>
              <w:rPr>
                <w:sz w:val="21"/>
              </w:rPr>
            </w:pPr>
            <w:r>
              <w:rPr>
                <w:sz w:val="21"/>
              </w:rPr>
              <w:t xml:space="preserve">End of Reporting Period</w:t>
            </w:r>
          </w:p>
        </w:tc>
        <w:tc>
          <w:tcPr>
            <w:tcW w:w="1928" w:type="dxa"/>
            <w:shd w:val="clear" w:color="auto" w:fill="D2D2D2"/>
          </w:tcPr>
          <w:p>
            <w:pPr>
              <w:pStyle w:val="TableParagraph"/>
              <w:spacing w:before="137"/>
              <w:ind w:left="543"/>
              <w:rPr>
                <w:sz w:val="21"/>
              </w:rPr>
            </w:pPr>
            <w:r>
              <w:rPr>
                <w:sz w:val="21"/>
              </w:rPr>
              <w:t xml:space="preserve">End of prior year</w:t>
            </w:r>
          </w:p>
        </w:tc>
        <w:tc>
          <w:tcPr>
            <w:tcW w:w="1928" w:type="dxa"/>
            <w:shd w:val="clear" w:color="auto" w:fill="D2D2D2"/>
          </w:tcPr>
          <w:p>
            <w:pPr>
              <w:pStyle w:val="TableParagraph"/>
              <w:spacing w:before="43" w:line="211" w:lineRule="auto"/>
              <w:ind w:left="542" w:right="120" w:hanging="420"/>
              <w:rPr>
                <w:sz w:val="21"/>
              </w:rPr>
            </w:pPr>
            <w:r>
              <w:rPr>
                <w:sz w:val="21"/>
              </w:rPr>
              <w:t xml:space="preserve">Change at end of reporting period vs end of prior year</w:t>
            </w:r>
          </w:p>
        </w:tc>
      </w:tr>
      <w:tr>
        <w:trPr>
          <w:trHeight w:val="454" w:hRule="atLeast"/>
        </w:trPr>
        <w:tc>
          <w:tcPr>
            <w:tcW w:w="3856" w:type="dxa"/>
            <w:shd w:val="clear" w:color="auto" w:fill="D2D2D2"/>
          </w:tcPr>
          <w:p>
            <w:pPr>
              <w:pStyle w:val="TableParagraph"/>
              <w:spacing w:before="86"/>
              <w:ind w:left="106"/>
              <w:rPr>
                <w:sz w:val="21"/>
              </w:rPr>
            </w:pPr>
            <w:r>
              <w:rPr>
                <w:sz w:val="21"/>
              </w:rPr>
              <w:t xml:space="preserve">total assets (RMB)</w:t>
            </w:r>
          </w:p>
        </w:tc>
        <w:tc>
          <w:tcPr>
            <w:tcW w:w="1928" w:type="dxa"/>
          </w:tcPr>
          <w:p>
            <w:pPr>
              <w:pStyle w:val="TableParagraph"/>
              <w:spacing w:before="104"/>
              <w:ind w:right="103"/>
              <w:jc w:val="right"/>
              <w:rPr>
                <w:rFonts w:ascii="Times New Roman"/>
                <w:sz w:val="21"/>
              </w:rPr>
            </w:pPr>
            <w:r>
              <w:rPr>
                <w:rFonts w:ascii="Times New Roman"/>
                <w:spacing w:val="-2"/>
                <w:sz w:val="21"/>
              </w:rPr>
              <w:t>7,393,033,094.86</w:t>
            </w:r>
          </w:p>
        </w:tc>
        <w:tc>
          <w:tcPr>
            <w:tcW w:w="1928" w:type="dxa"/>
          </w:tcPr>
          <w:p>
            <w:pPr>
              <w:pStyle w:val="TableParagraph"/>
              <w:spacing w:before="104"/>
              <w:ind w:right="104"/>
              <w:jc w:val="right"/>
              <w:rPr>
                <w:rFonts w:ascii="Times New Roman"/>
                <w:sz w:val="21"/>
              </w:rPr>
            </w:pPr>
            <w:r>
              <w:rPr>
                <w:rFonts w:ascii="Times New Roman"/>
                <w:spacing w:val="-2"/>
                <w:sz w:val="21"/>
              </w:rPr>
              <w:t>6,824,573,931.69</w:t>
            </w:r>
          </w:p>
        </w:tc>
        <w:tc>
          <w:tcPr>
            <w:tcW w:w="1928" w:type="dxa"/>
          </w:tcPr>
          <w:p>
            <w:pPr>
              <w:pStyle w:val="TableParagraph"/>
              <w:spacing w:before="104"/>
              <w:ind w:right="102"/>
              <w:jc w:val="right"/>
              <w:rPr>
                <w:rFonts w:ascii="Times New Roman"/>
                <w:sz w:val="21"/>
              </w:rPr>
            </w:pPr>
            <w:r>
              <w:rPr>
                <w:rFonts w:ascii="Times New Roman"/>
                <w:spacing w:val="-2"/>
                <w:sz w:val="21"/>
              </w:rPr>
              <w:t>8.33%</w:t>
            </w:r>
          </w:p>
        </w:tc>
      </w:tr>
      <w:tr>
        <w:trPr>
          <w:trHeight w:val="453" w:hRule="atLeast"/>
        </w:trPr>
        <w:tc>
          <w:tcPr>
            <w:tcW w:w="3856" w:type="dxa"/>
            <w:shd w:val="clear" w:color="auto" w:fill="D2D2D2"/>
          </w:tcPr>
          <w:p>
            <w:pPr>
              <w:pStyle w:val="TableParagraph"/>
              <w:spacing w:before="85"/>
              <w:ind w:left="106"/>
              <w:rPr>
                <w:sz w:val="21"/>
              </w:rPr>
            </w:pPr>
            <w:r>
              <w:rPr>
                <w:sz w:val="21"/>
              </w:rPr>
              <w:t xml:space="preserve">net assets attributable to owners (RMB)</w:t>
            </w:r>
          </w:p>
        </w:tc>
        <w:tc>
          <w:tcPr>
            <w:tcW w:w="1928" w:type="dxa"/>
          </w:tcPr>
          <w:p>
            <w:pPr>
              <w:pStyle w:val="TableParagraph"/>
              <w:spacing w:before="103"/>
              <w:ind w:right="103"/>
              <w:jc w:val="right"/>
              <w:rPr>
                <w:rFonts w:ascii="Times New Roman"/>
                <w:sz w:val="21"/>
              </w:rPr>
            </w:pPr>
            <w:r>
              <w:rPr>
                <w:rFonts w:ascii="Times New Roman"/>
                <w:spacing w:val="-2"/>
                <w:sz w:val="21"/>
              </w:rPr>
              <w:t>3,523,611,124.47</w:t>
            </w:r>
          </w:p>
        </w:tc>
        <w:tc>
          <w:tcPr>
            <w:tcW w:w="1928" w:type="dxa"/>
          </w:tcPr>
          <w:p>
            <w:pPr>
              <w:pStyle w:val="TableParagraph"/>
              <w:spacing w:before="103"/>
              <w:ind w:right="104"/>
              <w:jc w:val="right"/>
              <w:rPr>
                <w:rFonts w:ascii="Times New Roman"/>
                <w:sz w:val="21"/>
              </w:rPr>
            </w:pPr>
            <w:r>
              <w:rPr>
                <w:rFonts w:ascii="Times New Roman"/>
                <w:spacing w:val="-2"/>
                <w:sz w:val="21"/>
              </w:rPr>
              <w:t>3,377,268,281.69</w:t>
            </w:r>
          </w:p>
        </w:tc>
        <w:tc>
          <w:tcPr>
            <w:tcW w:w="1928" w:type="dxa"/>
          </w:tcPr>
          <w:p>
            <w:pPr>
              <w:pStyle w:val="TableParagraph"/>
              <w:spacing w:before="103"/>
              <w:ind w:right="102"/>
              <w:jc w:val="right"/>
              <w:rPr>
                <w:rFonts w:ascii="Times New Roman"/>
                <w:sz w:val="21"/>
              </w:rPr>
            </w:pPr>
            <w:r>
              <w:rPr>
                <w:rFonts w:ascii="Times New Roman"/>
                <w:spacing w:val="-2"/>
                <w:sz w:val="21"/>
              </w:rPr>
              <w:t>4.33%</w:t>
            </w:r>
          </w:p>
        </w:tc>
      </w:tr>
    </w:tbl>
    <w:p>
      <w:pPr>
        <w:pStyle w:val="Heading2"/>
        <w:spacing w:before="283"/>
      </w:pPr>
      <w:bookmarkStart w:name="3、公司股东数量及持股情况" w:id="5"/>
      <w:bookmarkEnd w:id="5"/>
      <w:r>
        <w:rPr>
          <w:spacing w:val="-3"/>
        </w:rPr>
        <w:t xml:space="preserve">3. Number of shareholders and shareholdings</w:t>
      </w:r>
    </w:p>
    <w:p>
      <w:pPr>
        <w:pStyle w:val="BodyText"/>
        <w:spacing w:before="64"/>
        <w:rPr>
          <w:b/>
          <w:sz w:val="18"/>
        </w:rPr>
      </w:pPr>
    </w:p>
    <w:p>
      <w:pPr>
        <w:spacing w:before="1" w:after="35"/>
        <w:ind w:left="0" w:right="187" w:firstLine="0"/>
        <w:jc w:val="right"/>
        <w:rPr>
          <w:sz w:val="18"/>
        </w:rPr>
      </w:pPr>
      <w:r>
        <w:rPr>
          <w:sz w:val="18"/>
        </w:rPr>
        <w:t xml:space="preserve">Unit: shares</w:t>
      </w:r>
    </w:p>
    <w:tbl>
      <w:tblPr>
        <w:tblW w:w="0" w:type="auto"/>
        <w:jc w:val="left"/>
        <w:tblInd w:w="3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Look w:val="01E0"/>
      </w:tblPr>
      <w:tblGrid>
        <w:gridCol w:w="1395"/>
        <w:gridCol w:w="1375"/>
        <w:gridCol w:w="1000"/>
        <w:gridCol w:w="1475"/>
        <w:gridCol w:w="1375"/>
        <w:gridCol w:w="1264"/>
        <w:gridCol w:w="1752"/>
      </w:tblGrid>
      <w:tr>
        <w:trPr>
          <w:trHeight w:val="1280" w:hRule="atLeast"/>
        </w:trPr>
        <w:tc>
          <w:tcPr>
            <w:tcW w:w="1395" w:type="dxa"/>
            <w:shd w:val="clear" w:color="auto" w:fill="D2D2D2"/>
          </w:tcPr>
          <w:p>
            <w:pPr>
              <w:pStyle w:val="TableParagraph"/>
              <w:spacing w:before="11"/>
              <w:rPr>
                <w:sz w:val="21"/>
              </w:rPr>
            </w:pPr>
          </w:p>
          <w:p>
            <w:pPr>
              <w:pStyle w:val="TableParagraph"/>
              <w:spacing w:line="211" w:lineRule="auto"/>
              <w:ind w:left="106" w:right="232"/>
              <w:jc w:val="both"/>
              <w:rPr>
                <w:sz w:val="21"/>
              </w:rPr>
            </w:pPr>
            <w:r>
              <w:rPr>
                <w:sz w:val="21"/>
              </w:rPr>
              <w:t xml:space="preserve">Total number of ordinary shareholders at end of reporting period</w:t>
            </w:r>
          </w:p>
        </w:tc>
        <w:tc>
          <w:tcPr>
            <w:tcW w:w="2375" w:type="dxa"/>
            <w:gridSpan w:val="2"/>
          </w:tcPr>
          <w:p>
            <w:pPr>
              <w:pStyle w:val="TableParagraph"/>
              <w:spacing w:before="243"/>
              <w:rPr>
                <w:sz w:val="21"/>
              </w:rPr>
            </w:pPr>
          </w:p>
          <w:p>
            <w:pPr>
              <w:pStyle w:val="TableParagraph"/>
              <w:spacing w:before="1"/>
              <w:ind w:right="103"/>
              <w:jc w:val="right"/>
              <w:rPr>
                <w:rFonts w:ascii="Times New Roman"/>
                <w:sz w:val="21"/>
              </w:rPr>
            </w:pPr>
            <w:r>
              <w:rPr>
                <w:rFonts w:ascii="Times New Roman"/>
                <w:spacing w:val="-2"/>
                <w:sz w:val="21"/>
              </w:rPr>
              <w:t>8,363</w:t>
            </w:r>
          </w:p>
        </w:tc>
        <w:tc>
          <w:tcPr>
            <w:tcW w:w="1475" w:type="dxa"/>
            <w:shd w:val="clear" w:color="auto" w:fill="D2D2D2"/>
          </w:tcPr>
          <w:p>
            <w:pPr>
              <w:pStyle w:val="TableParagraph"/>
              <w:spacing w:before="44" w:line="211" w:lineRule="auto"/>
              <w:ind w:left="107" w:right="311"/>
              <w:rPr>
                <w:sz w:val="21"/>
              </w:rPr>
            </w:pPr>
            <w:r>
              <w:rPr>
                <w:sz w:val="21"/>
              </w:rPr>
              <w:t xml:space="preserve">Total number of preference shareholders with restored voting rights at end of reporting period (if any)</w:t>
            </w:r>
          </w:p>
        </w:tc>
        <w:tc>
          <w:tcPr>
            <w:tcW w:w="1375" w:type="dxa"/>
          </w:tcPr>
          <w:p>
            <w:pPr>
              <w:pStyle w:val="TableParagraph"/>
              <w:spacing w:before="243"/>
              <w:rPr>
                <w:sz w:val="21"/>
              </w:rPr>
            </w:pPr>
          </w:p>
          <w:p>
            <w:pPr>
              <w:pStyle w:val="TableParagraph"/>
              <w:spacing w:before="1"/>
              <w:ind w:right="101"/>
              <w:jc w:val="right"/>
              <w:rPr>
                <w:rFonts w:ascii="Times New Roman"/>
                <w:sz w:val="21"/>
              </w:rPr>
            </w:pPr>
            <w:r>
              <w:rPr>
                <w:rFonts w:ascii="Times New Roman"/>
                <w:spacing w:val="-10"/>
                <w:sz w:val="21"/>
              </w:rPr>
              <w:t>0</w:t>
            </w:r>
          </w:p>
        </w:tc>
        <w:tc>
          <w:tcPr>
            <w:tcW w:w="1264" w:type="dxa"/>
            <w:shd w:val="clear" w:color="auto" w:fill="D2D2D2"/>
          </w:tcPr>
          <w:p>
            <w:pPr>
              <w:pStyle w:val="TableParagraph"/>
              <w:spacing w:before="44" w:line="211" w:lineRule="auto"/>
              <w:ind w:left="108" w:right="310"/>
              <w:jc w:val="both"/>
              <w:rPr>
                <w:sz w:val="21"/>
              </w:rPr>
            </w:pPr>
            <w:r>
              <w:rPr>
                <w:sz w:val="21"/>
              </w:rPr>
              <w:t xml:space="preserve">Total number of shareholders holding shares with special voting rights (if any)</w:t>
            </w:r>
          </w:p>
        </w:tc>
        <w:tc>
          <w:tcPr>
            <w:tcW w:w="1752" w:type="dxa"/>
          </w:tcPr>
          <w:p>
            <w:pPr>
              <w:pStyle w:val="TableParagraph"/>
              <w:spacing w:before="243"/>
              <w:rPr>
                <w:sz w:val="21"/>
              </w:rPr>
            </w:pPr>
          </w:p>
          <w:p>
            <w:pPr>
              <w:pStyle w:val="TableParagraph"/>
              <w:spacing w:before="1"/>
              <w:ind w:right="102"/>
              <w:jc w:val="right"/>
              <w:rPr>
                <w:rFonts w:ascii="Times New Roman"/>
                <w:sz w:val="21"/>
              </w:rPr>
            </w:pPr>
            <w:r>
              <w:rPr>
                <w:rFonts w:ascii="Times New Roman"/>
                <w:spacing w:val="-10"/>
                <w:sz w:val="21"/>
              </w:rPr>
              <w:t>0</w:t>
            </w:r>
          </w:p>
        </w:tc>
      </w:tr>
      <w:tr>
        <w:trPr>
          <w:trHeight w:val="453" w:hRule="atLeast"/>
        </w:trPr>
        <w:tc>
          <w:tcPr>
            <w:tcW w:w="9636" w:type="dxa"/>
            <w:gridSpan w:val="7"/>
            <w:shd w:val="clear" w:color="auto" w:fill="D2D2D2"/>
          </w:tcPr>
          <w:p>
            <w:pPr>
              <w:pStyle w:val="TableParagraph"/>
              <w:spacing w:before="85"/>
              <w:jc w:val="center"/>
              <w:rPr>
                <w:sz w:val="21"/>
              </w:rPr>
            </w:pPr>
            <w:r>
              <w:rPr>
                <w:sz w:val="21"/>
              </w:rPr>
              <w:t xml:space="preserve">Top </w:t>
            </w:r>
            <w:r>
              <w:rPr>
                <w:rFonts w:ascii="Times New Roman" w:hAnsi="Times New Roman"/>
                <w:sz w:val="21"/>
              </w:rPr>
              <w:t xml:space="preserve">10 </w:t>
            </w:r>
            <w:r>
              <w:rPr>
                <w:sz w:val="21"/>
              </w:rPr>
              <w:t xml:space="preserve">shareholders' shareholdings (excluding shares lent through refinancing)</w:t>
            </w:r>
          </w:p>
        </w:tc>
      </w:tr>
      <w:tr>
        <w:trPr>
          <w:trHeight w:val="454" w:hRule="atLeast"/>
        </w:trPr>
        <w:tc>
          <w:tcPr>
            <w:tcW w:w="1395" w:type="dxa"/>
            <w:vMerge w:val="restart"/>
            <w:shd w:val="clear" w:color="auto" w:fill="D2D2D2"/>
          </w:tcPr>
          <w:p>
            <w:pPr>
              <w:pStyle w:val="TableParagraph"/>
              <w:spacing w:before="41"/>
              <w:rPr>
                <w:sz w:val="21"/>
              </w:rPr>
            </w:pPr>
          </w:p>
          <w:p>
            <w:pPr>
              <w:pStyle w:val="TableParagraph"/>
              <w:spacing w:before="1"/>
              <w:ind w:left="277"/>
              <w:rPr>
                <w:sz w:val="21"/>
              </w:rPr>
            </w:pPr>
            <w:r>
              <w:rPr>
                <w:sz w:val="21"/>
              </w:rPr>
              <w:t xml:space="preserve">Shareholder name</w:t>
            </w:r>
          </w:p>
        </w:tc>
        <w:tc>
          <w:tcPr>
            <w:tcW w:w="1375" w:type="dxa"/>
            <w:vMerge w:val="restart"/>
            <w:shd w:val="clear" w:color="auto" w:fill="D2D2D2"/>
          </w:tcPr>
          <w:p>
            <w:pPr>
              <w:pStyle w:val="TableParagraph"/>
              <w:spacing w:before="41"/>
              <w:rPr>
                <w:sz w:val="21"/>
              </w:rPr>
            </w:pPr>
          </w:p>
          <w:p>
            <w:pPr>
              <w:pStyle w:val="TableParagraph"/>
              <w:spacing w:before="1"/>
              <w:ind w:left="266"/>
              <w:rPr>
                <w:sz w:val="21"/>
              </w:rPr>
            </w:pPr>
            <w:r>
              <w:rPr>
                <w:sz w:val="21"/>
              </w:rPr>
              <w:t xml:space="preserve">Nature of shareholder</w:t>
            </w:r>
          </w:p>
        </w:tc>
        <w:tc>
          <w:tcPr>
            <w:tcW w:w="1000" w:type="dxa"/>
            <w:vMerge w:val="restart"/>
            <w:shd w:val="clear" w:color="auto" w:fill="D2D2D2"/>
          </w:tcPr>
          <w:p>
            <w:pPr>
              <w:pStyle w:val="TableParagraph"/>
              <w:spacing w:before="220" w:line="211" w:lineRule="auto"/>
              <w:ind w:left="394" w:right="178" w:hanging="209"/>
              <w:rPr>
                <w:sz w:val="21"/>
              </w:rPr>
            </w:pPr>
            <w:r>
              <w:rPr>
                <w:sz w:val="21"/>
              </w:rPr>
              <w:t xml:space="preserve">Shareholding percentage</w:t>
            </w:r>
          </w:p>
        </w:tc>
        <w:tc>
          <w:tcPr>
            <w:tcW w:w="1475" w:type="dxa"/>
            <w:vMerge w:val="restart"/>
            <w:shd w:val="clear" w:color="auto" w:fill="D2D2D2"/>
          </w:tcPr>
          <w:p>
            <w:pPr>
              <w:pStyle w:val="TableParagraph"/>
              <w:spacing w:before="41"/>
              <w:rPr>
                <w:sz w:val="21"/>
              </w:rPr>
            </w:pPr>
          </w:p>
          <w:p>
            <w:pPr>
              <w:pStyle w:val="TableParagraph"/>
              <w:spacing w:before="1"/>
              <w:ind w:left="315"/>
              <w:rPr>
                <w:sz w:val="21"/>
              </w:rPr>
            </w:pPr>
            <w:r>
              <w:rPr>
                <w:sz w:val="21"/>
              </w:rPr>
              <w:t xml:space="preserve">Number of shares held</w:t>
            </w:r>
          </w:p>
        </w:tc>
        <w:tc>
          <w:tcPr>
            <w:tcW w:w="1375" w:type="dxa"/>
            <w:vMerge w:val="restart"/>
            <w:shd w:val="clear" w:color="auto" w:fill="D2D2D2"/>
          </w:tcPr>
          <w:p>
            <w:pPr>
              <w:pStyle w:val="TableParagraph"/>
              <w:spacing w:before="100" w:line="211" w:lineRule="auto"/>
              <w:ind w:left="160" w:right="158"/>
              <w:jc w:val="center"/>
              <w:rPr>
                <w:sz w:val="21"/>
              </w:rPr>
            </w:pPr>
            <w:r>
              <w:rPr>
                <w:sz w:val="21"/>
              </w:rPr>
              <w:t xml:space="preserve">Number of restricted shares held</w:t>
            </w:r>
          </w:p>
        </w:tc>
        <w:tc>
          <w:tcPr>
            <w:tcW w:w="3016" w:type="dxa"/>
            <w:gridSpan w:val="2"/>
            <w:shd w:val="clear" w:color="auto" w:fill="D2D2D2"/>
          </w:tcPr>
          <w:p>
            <w:pPr>
              <w:pStyle w:val="TableParagraph"/>
              <w:spacing w:before="84"/>
              <w:ind w:left="458"/>
              <w:rPr>
                <w:sz w:val="21"/>
              </w:rPr>
            </w:pPr>
            <w:r>
              <w:rPr>
                <w:sz w:val="21"/>
              </w:rPr>
              <w:t xml:space="preserve">Status of pledge, marking or freezing</w:t>
            </w:r>
          </w:p>
        </w:tc>
      </w:tr>
      <w:tr>
        <w:trPr>
          <w:trHeight w:val="453" w:hRule="atLeast"/>
        </w:trPr>
        <w:tc>
          <w:tcPr>
            <w:tcW w:w="1395" w:type="dxa"/>
            <w:vMerge/>
            <w:tcBorders>
              <w:top w:val="nil"/>
            </w:tcBorders>
            <w:shd w:val="clear" w:color="auto" w:fill="D2D2D2"/>
          </w:tcPr>
          <w:p>
            <w:pPr>
              <w:rPr>
                <w:sz w:val="2"/>
                <w:szCs w:val="2"/>
              </w:rPr>
            </w:pPr>
          </w:p>
        </w:tc>
        <w:tc>
          <w:tcPr>
            <w:tcW w:w="1375" w:type="dxa"/>
            <w:vMerge/>
            <w:tcBorders>
              <w:top w:val="nil"/>
            </w:tcBorders>
            <w:shd w:val="clear" w:color="auto" w:fill="D2D2D2"/>
          </w:tcPr>
          <w:p>
            <w:pPr>
              <w:rPr>
                <w:sz w:val="2"/>
                <w:szCs w:val="2"/>
              </w:rPr>
            </w:pPr>
          </w:p>
        </w:tc>
        <w:tc>
          <w:tcPr>
            <w:tcW w:w="1000" w:type="dxa"/>
            <w:vMerge/>
            <w:tcBorders>
              <w:top w:val="nil"/>
            </w:tcBorders>
            <w:shd w:val="clear" w:color="auto" w:fill="D2D2D2"/>
          </w:tcPr>
          <w:p>
            <w:pPr>
              <w:rPr>
                <w:sz w:val="2"/>
                <w:szCs w:val="2"/>
              </w:rPr>
            </w:pPr>
          </w:p>
        </w:tc>
        <w:tc>
          <w:tcPr>
            <w:tcW w:w="1475" w:type="dxa"/>
            <w:vMerge/>
            <w:tcBorders>
              <w:top w:val="nil"/>
            </w:tcBorders>
            <w:shd w:val="clear" w:color="auto" w:fill="D2D2D2"/>
          </w:tcPr>
          <w:p>
            <w:pPr>
              <w:rPr>
                <w:sz w:val="2"/>
                <w:szCs w:val="2"/>
              </w:rPr>
            </w:pPr>
          </w:p>
        </w:tc>
        <w:tc>
          <w:tcPr>
            <w:tcW w:w="1375" w:type="dxa"/>
            <w:vMerge/>
            <w:tcBorders>
              <w:top w:val="nil"/>
            </w:tcBorders>
            <w:shd w:val="clear" w:color="auto" w:fill="D2D2D2"/>
          </w:tcPr>
          <w:p>
            <w:pPr>
              <w:rPr>
                <w:sz w:val="2"/>
                <w:szCs w:val="2"/>
              </w:rPr>
            </w:pPr>
          </w:p>
        </w:tc>
        <w:tc>
          <w:tcPr>
            <w:tcW w:w="1264" w:type="dxa"/>
            <w:shd w:val="clear" w:color="auto" w:fill="D2D2D2"/>
          </w:tcPr>
          <w:p>
            <w:pPr>
              <w:pStyle w:val="TableParagraph"/>
              <w:spacing w:before="84"/>
              <w:ind w:left="211"/>
              <w:rPr>
                <w:sz w:val="21"/>
              </w:rPr>
            </w:pPr>
            <w:r>
              <w:rPr>
                <w:sz w:val="21"/>
              </w:rPr>
              <w:t xml:space="preserve">Share status</w:t>
            </w:r>
          </w:p>
        </w:tc>
        <w:tc>
          <w:tcPr>
            <w:tcW w:w="1752" w:type="dxa"/>
            <w:shd w:val="clear" w:color="auto" w:fill="D2D2D2"/>
          </w:tcPr>
          <w:p>
            <w:pPr>
              <w:pStyle w:val="TableParagraph"/>
              <w:spacing w:before="84"/>
              <w:ind w:left="2"/>
              <w:jc w:val="center"/>
              <w:rPr>
                <w:sz w:val="21"/>
              </w:rPr>
            </w:pPr>
            <w:r>
              <w:rPr>
                <w:sz w:val="21"/>
              </w:rPr>
              <w:t xml:space="preserve">Quantity</w:t>
            </w:r>
          </w:p>
        </w:tc>
      </w:tr>
      <w:tr>
        <w:trPr>
          <w:trHeight w:val="453" w:hRule="atLeast"/>
        </w:trPr>
        <w:tc>
          <w:tcPr>
            <w:tcW w:w="1395" w:type="dxa"/>
          </w:tcPr>
          <w:p>
            <w:pPr>
              <w:pStyle w:val="TableParagraph"/>
              <w:spacing w:before="85"/>
              <w:ind w:left="106"/>
              <w:rPr>
                <w:sz w:val="21"/>
              </w:rPr>
            </w:pPr>
            <w:r>
              <w:rPr>
                <w:sz w:val="21"/>
              </w:rPr>
              <w:t xml:space="preserve">Song Chuan</w:t>
            </w:r>
          </w:p>
        </w:tc>
        <w:tc>
          <w:tcPr>
            <w:tcW w:w="1375" w:type="dxa"/>
          </w:tcPr>
          <w:p>
            <w:pPr>
              <w:pStyle w:val="TableParagraph"/>
              <w:spacing w:before="85"/>
              <w:ind w:left="56" w:right="158"/>
              <w:jc w:val="center"/>
              <w:rPr>
                <w:sz w:val="21"/>
              </w:rPr>
            </w:pPr>
            <w:r>
              <w:rPr>
                <w:sz w:val="21"/>
              </w:rPr>
              <w:t xml:space="preserve">Domestic individual</w:t>
            </w:r>
          </w:p>
        </w:tc>
        <w:tc>
          <w:tcPr>
            <w:tcW w:w="1000" w:type="dxa"/>
          </w:tcPr>
          <w:p>
            <w:pPr>
              <w:pStyle w:val="TableParagraph"/>
              <w:spacing w:before="103"/>
              <w:ind w:right="103"/>
              <w:jc w:val="right"/>
              <w:rPr>
                <w:rFonts w:ascii="Times New Roman"/>
                <w:sz w:val="21"/>
              </w:rPr>
            </w:pPr>
            <w:r>
              <w:rPr>
                <w:rFonts w:ascii="Times New Roman"/>
                <w:spacing w:val="-2"/>
                <w:sz w:val="21"/>
              </w:rPr>
              <w:t>50.01%</w:t>
            </w:r>
          </w:p>
        </w:tc>
        <w:tc>
          <w:tcPr>
            <w:tcW w:w="1475" w:type="dxa"/>
          </w:tcPr>
          <w:p>
            <w:pPr>
              <w:pStyle w:val="TableParagraph"/>
              <w:spacing w:before="103"/>
              <w:ind w:right="104"/>
              <w:jc w:val="right"/>
              <w:rPr>
                <w:rFonts w:ascii="Times New Roman"/>
                <w:sz w:val="21"/>
              </w:rPr>
            </w:pPr>
            <w:r>
              <w:rPr>
                <w:rFonts w:ascii="Times New Roman"/>
                <w:spacing w:val="-2"/>
                <w:sz w:val="21"/>
              </w:rPr>
              <w:t>201,268,169</w:t>
            </w:r>
          </w:p>
        </w:tc>
        <w:tc>
          <w:tcPr>
            <w:tcW w:w="1375" w:type="dxa"/>
          </w:tcPr>
          <w:p>
            <w:pPr>
              <w:pStyle w:val="TableParagraph"/>
              <w:spacing w:before="103"/>
              <w:ind w:right="104"/>
              <w:jc w:val="right"/>
              <w:rPr>
                <w:rFonts w:ascii="Times New Roman"/>
                <w:sz w:val="21"/>
              </w:rPr>
            </w:pPr>
            <w:r>
              <w:rPr>
                <w:rFonts w:ascii="Times New Roman"/>
                <w:spacing w:val="-2"/>
                <w:sz w:val="21"/>
              </w:rPr>
              <w:t>201,268,169</w:t>
            </w:r>
          </w:p>
        </w:tc>
        <w:tc>
          <w:tcPr>
            <w:tcW w:w="1264" w:type="dxa"/>
          </w:tcPr>
          <w:p>
            <w:pPr>
              <w:pStyle w:val="TableParagraph"/>
              <w:spacing w:before="85"/>
              <w:ind w:left="108"/>
              <w:rPr>
                <w:sz w:val="21"/>
              </w:rPr>
            </w:pPr>
            <w:r>
              <w:rPr>
                <w:sz w:val="21"/>
              </w:rPr>
              <w:t xml:space="preserve">Not applicable</w:t>
            </w:r>
          </w:p>
        </w:tc>
        <w:tc>
          <w:tcPr>
            <w:tcW w:w="1752" w:type="dxa"/>
          </w:tcPr>
          <w:p>
            <w:pPr>
              <w:pStyle w:val="TableParagraph"/>
              <w:rPr>
                <w:rFonts w:ascii="Times New Roman"/>
                <w:sz w:val="20"/>
              </w:rPr>
            </w:pPr>
          </w:p>
        </w:tc>
      </w:tr>
      <w:tr>
        <w:trPr>
          <w:trHeight w:val="720" w:hRule="atLeast"/>
        </w:trPr>
        <w:tc>
          <w:tcPr>
            <w:tcW w:w="1395" w:type="dxa"/>
          </w:tcPr>
          <w:p>
            <w:pPr>
              <w:pStyle w:val="TableParagraph"/>
              <w:spacing w:before="3" w:line="211" w:lineRule="auto"/>
              <w:ind w:left="106" w:right="232"/>
              <w:rPr>
                <w:sz w:val="21"/>
              </w:rPr>
            </w:pPr>
            <w:r>
              <w:rPr>
                <w:sz w:val="21"/>
              </w:rPr>
              <w:t xml:space="preserve">Anker Innovations Technology Co.,</w:t>
            </w:r>
          </w:p>
          <w:p>
            <w:pPr>
              <w:pStyle w:val="TableParagraph"/>
              <w:spacing w:line="217" w:lineRule="exact"/>
              <w:ind w:left="106"/>
              <w:rPr>
                <w:sz w:val="21"/>
              </w:rPr>
            </w:pPr>
            <w:r>
              <w:rPr>
                <w:sz w:val="21"/>
              </w:rPr>
              <w:t xml:space="preserve">Ltd.</w:t>
            </w:r>
          </w:p>
        </w:tc>
        <w:tc>
          <w:tcPr>
            <w:tcW w:w="1375" w:type="dxa"/>
          </w:tcPr>
          <w:p>
            <w:pPr>
              <w:pStyle w:val="TableParagraph"/>
              <w:spacing w:before="123" w:line="211" w:lineRule="auto"/>
              <w:ind w:left="108" w:right="210"/>
              <w:rPr>
                <w:sz w:val="21"/>
              </w:rPr>
            </w:pPr>
            <w:r>
              <w:rPr>
                <w:sz w:val="21"/>
              </w:rPr>
              <w:t xml:space="preserve">Domestic non-state-owned legal entity</w:t>
            </w:r>
          </w:p>
        </w:tc>
        <w:tc>
          <w:tcPr>
            <w:tcW w:w="1000" w:type="dxa"/>
          </w:tcPr>
          <w:p>
            <w:pPr>
              <w:pStyle w:val="TableParagraph"/>
              <w:spacing w:before="235"/>
              <w:ind w:right="103"/>
              <w:jc w:val="right"/>
              <w:rPr>
                <w:rFonts w:ascii="Times New Roman"/>
                <w:sz w:val="21"/>
              </w:rPr>
            </w:pPr>
            <w:r>
              <w:rPr>
                <w:rFonts w:ascii="Times New Roman"/>
                <w:spacing w:val="-2"/>
                <w:sz w:val="21"/>
              </w:rPr>
              <w:t>8.22%</w:t>
            </w:r>
          </w:p>
        </w:tc>
        <w:tc>
          <w:tcPr>
            <w:tcW w:w="1475" w:type="dxa"/>
          </w:tcPr>
          <w:p>
            <w:pPr>
              <w:pStyle w:val="TableParagraph"/>
              <w:spacing w:before="235"/>
              <w:ind w:right="104"/>
              <w:jc w:val="right"/>
              <w:rPr>
                <w:rFonts w:ascii="Times New Roman"/>
                <w:sz w:val="21"/>
              </w:rPr>
            </w:pPr>
            <w:r>
              <w:rPr>
                <w:rFonts w:ascii="Times New Roman"/>
                <w:spacing w:val="-2"/>
                <w:sz w:val="21"/>
              </w:rPr>
              <w:t>33,077,475</w:t>
            </w:r>
          </w:p>
        </w:tc>
        <w:tc>
          <w:tcPr>
            <w:tcW w:w="1375" w:type="dxa"/>
          </w:tcPr>
          <w:p>
            <w:pPr>
              <w:pStyle w:val="TableParagraph"/>
              <w:rPr>
                <w:rFonts w:ascii="Times New Roman"/>
                <w:sz w:val="20"/>
              </w:rPr>
            </w:pPr>
          </w:p>
        </w:tc>
        <w:tc>
          <w:tcPr>
            <w:tcW w:w="1264" w:type="dxa"/>
          </w:tcPr>
          <w:p>
            <w:pPr>
              <w:pStyle w:val="TableParagraph"/>
              <w:spacing w:before="217"/>
              <w:ind w:left="108"/>
              <w:rPr>
                <w:sz w:val="21"/>
              </w:rPr>
            </w:pPr>
            <w:r>
              <w:rPr>
                <w:sz w:val="21"/>
              </w:rPr>
              <w:t xml:space="preserve">Not applicable</w:t>
            </w:r>
          </w:p>
        </w:tc>
        <w:tc>
          <w:tcPr>
            <w:tcW w:w="1752" w:type="dxa"/>
          </w:tcPr>
          <w:p>
            <w:pPr>
              <w:pStyle w:val="TableParagraph"/>
              <w:rPr>
                <w:rFonts w:ascii="Times New Roman"/>
                <w:sz w:val="20"/>
              </w:rPr>
            </w:pPr>
          </w:p>
        </w:tc>
      </w:tr>
      <w:tr>
        <w:trPr>
          <w:trHeight w:val="960" w:hRule="atLeast"/>
        </w:trPr>
        <w:tc>
          <w:tcPr>
            <w:tcW w:w="1395" w:type="dxa"/>
          </w:tcPr>
          <w:p>
            <w:pPr>
              <w:pStyle w:val="TableParagraph"/>
              <w:spacing w:before="2" w:line="211" w:lineRule="auto"/>
              <w:ind w:left="106" w:right="232"/>
              <w:jc w:val="both"/>
              <w:rPr>
                <w:sz w:val="21"/>
              </w:rPr>
            </w:pPr>
            <w:r>
              <w:rPr>
                <w:sz w:val="21"/>
              </w:rPr>
              <w:t xml:space="preserve">Gongqingcheng Keying Investment Partnership Enterprise (Limited</w:t>
            </w:r>
          </w:p>
          <w:p>
            <w:pPr>
              <w:pStyle w:val="TableParagraph"/>
              <w:spacing w:line="217" w:lineRule="exact"/>
              <w:ind w:left="106"/>
              <w:rPr>
                <w:sz w:val="21"/>
              </w:rPr>
            </w:pPr>
            <w:r>
              <w:rPr>
                <w:sz w:val="21"/>
              </w:rPr>
              <w:t xml:space="preserve">Partnership)</w:t>
            </w:r>
          </w:p>
        </w:tc>
        <w:tc>
          <w:tcPr>
            <w:tcW w:w="1375" w:type="dxa"/>
          </w:tcPr>
          <w:p>
            <w:pPr>
              <w:pStyle w:val="TableParagraph"/>
              <w:spacing w:before="242" w:line="211" w:lineRule="auto"/>
              <w:ind w:left="108" w:right="210"/>
              <w:rPr>
                <w:sz w:val="21"/>
              </w:rPr>
            </w:pPr>
            <w:r>
              <w:rPr>
                <w:sz w:val="21"/>
              </w:rPr>
              <w:t xml:space="preserve">Domestic non-state-owned legal entity</w:t>
            </w:r>
          </w:p>
        </w:tc>
        <w:tc>
          <w:tcPr>
            <w:tcW w:w="1000" w:type="dxa"/>
          </w:tcPr>
          <w:p>
            <w:pPr>
              <w:pStyle w:val="TableParagraph"/>
              <w:spacing w:before="81"/>
              <w:rPr>
                <w:sz w:val="21"/>
              </w:rPr>
            </w:pPr>
          </w:p>
          <w:p>
            <w:pPr>
              <w:pStyle w:val="TableParagraph"/>
              <w:spacing w:before="1"/>
              <w:ind w:right="103"/>
              <w:jc w:val="right"/>
              <w:rPr>
                <w:rFonts w:ascii="Times New Roman"/>
                <w:sz w:val="21"/>
              </w:rPr>
            </w:pPr>
            <w:r>
              <w:rPr>
                <w:rFonts w:ascii="Times New Roman"/>
                <w:spacing w:val="-2"/>
                <w:sz w:val="21"/>
              </w:rPr>
              <w:t>3.28%</w:t>
            </w:r>
          </w:p>
        </w:tc>
        <w:tc>
          <w:tcPr>
            <w:tcW w:w="1475" w:type="dxa"/>
          </w:tcPr>
          <w:p>
            <w:pPr>
              <w:pStyle w:val="TableParagraph"/>
              <w:spacing w:before="81"/>
              <w:rPr>
                <w:sz w:val="21"/>
              </w:rPr>
            </w:pPr>
          </w:p>
          <w:p>
            <w:pPr>
              <w:pStyle w:val="TableParagraph"/>
              <w:spacing w:before="1"/>
              <w:ind w:right="104"/>
              <w:jc w:val="right"/>
              <w:rPr>
                <w:rFonts w:ascii="Times New Roman"/>
                <w:sz w:val="21"/>
              </w:rPr>
            </w:pPr>
            <w:r>
              <w:rPr>
                <w:rFonts w:ascii="Times New Roman"/>
                <w:spacing w:val="-2"/>
                <w:sz w:val="21"/>
              </w:rPr>
              <w:t>13,205,179</w:t>
            </w:r>
          </w:p>
        </w:tc>
        <w:tc>
          <w:tcPr>
            <w:tcW w:w="1375" w:type="dxa"/>
          </w:tcPr>
          <w:p>
            <w:pPr>
              <w:pStyle w:val="TableParagraph"/>
              <w:rPr>
                <w:rFonts w:ascii="Times New Roman"/>
                <w:sz w:val="20"/>
              </w:rPr>
            </w:pPr>
          </w:p>
        </w:tc>
        <w:tc>
          <w:tcPr>
            <w:tcW w:w="1264" w:type="dxa"/>
          </w:tcPr>
          <w:p>
            <w:pPr>
              <w:pStyle w:val="TableParagraph"/>
              <w:spacing w:before="63"/>
              <w:rPr>
                <w:sz w:val="21"/>
              </w:rPr>
            </w:pPr>
          </w:p>
          <w:p>
            <w:pPr>
              <w:pStyle w:val="TableParagraph"/>
              <w:spacing w:before="1"/>
              <w:ind w:left="108"/>
              <w:rPr>
                <w:sz w:val="21"/>
              </w:rPr>
            </w:pPr>
            <w:r>
              <w:rPr>
                <w:sz w:val="21"/>
              </w:rPr>
              <w:t xml:space="preserve">Not applicable</w:t>
            </w:r>
          </w:p>
        </w:tc>
        <w:tc>
          <w:tcPr>
            <w:tcW w:w="1752" w:type="dxa"/>
          </w:tcPr>
          <w:p>
            <w:pPr>
              <w:pStyle w:val="TableParagraph"/>
              <w:rPr>
                <w:rFonts w:ascii="Times New Roman"/>
                <w:sz w:val="20"/>
              </w:rPr>
            </w:pPr>
          </w:p>
        </w:tc>
      </w:tr>
      <w:tr>
        <w:trPr>
          <w:trHeight w:val="960" w:hRule="atLeast"/>
        </w:trPr>
        <w:tc>
          <w:tcPr>
            <w:tcW w:w="1395" w:type="dxa"/>
          </w:tcPr>
          <w:p>
            <w:pPr>
              <w:pStyle w:val="TableParagraph"/>
              <w:spacing w:line="240" w:lineRule="exact"/>
              <w:ind w:left="106" w:right="232"/>
              <w:jc w:val="both"/>
              <w:rPr>
                <w:sz w:val="21"/>
              </w:rPr>
            </w:pPr>
            <w:r>
              <w:rPr>
                <w:sz w:val="21"/>
              </w:rPr>
              <w:t xml:space="preserve">Gongqingcheng Muqiao Investment Partnership Enterprise (Limited Partnership)</w:t>
            </w:r>
          </w:p>
        </w:tc>
        <w:tc>
          <w:tcPr>
            <w:tcW w:w="1375" w:type="dxa"/>
          </w:tcPr>
          <w:p>
            <w:pPr>
              <w:pStyle w:val="TableParagraph"/>
              <w:spacing w:before="245" w:line="211" w:lineRule="auto"/>
              <w:ind w:left="108" w:right="210"/>
              <w:rPr>
                <w:sz w:val="21"/>
              </w:rPr>
            </w:pPr>
            <w:r>
              <w:rPr>
                <w:sz w:val="21"/>
              </w:rPr>
              <w:t xml:space="preserve">Domestic non-state-owned legal entity</w:t>
            </w:r>
          </w:p>
        </w:tc>
        <w:tc>
          <w:tcPr>
            <w:tcW w:w="1000" w:type="dxa"/>
          </w:tcPr>
          <w:p>
            <w:pPr>
              <w:pStyle w:val="TableParagraph"/>
              <w:spacing w:before="84"/>
              <w:rPr>
                <w:sz w:val="21"/>
              </w:rPr>
            </w:pPr>
          </w:p>
          <w:p>
            <w:pPr>
              <w:pStyle w:val="TableParagraph"/>
              <w:ind w:right="103"/>
              <w:jc w:val="right"/>
              <w:rPr>
                <w:rFonts w:ascii="Times New Roman"/>
                <w:sz w:val="21"/>
              </w:rPr>
            </w:pPr>
            <w:r>
              <w:rPr>
                <w:rFonts w:ascii="Times New Roman"/>
                <w:spacing w:val="-2"/>
                <w:sz w:val="21"/>
              </w:rPr>
              <w:t>3.28%</w:t>
            </w:r>
          </w:p>
        </w:tc>
        <w:tc>
          <w:tcPr>
            <w:tcW w:w="1475" w:type="dxa"/>
          </w:tcPr>
          <w:p>
            <w:pPr>
              <w:pStyle w:val="TableParagraph"/>
              <w:spacing w:before="84"/>
              <w:rPr>
                <w:sz w:val="21"/>
              </w:rPr>
            </w:pPr>
          </w:p>
          <w:p>
            <w:pPr>
              <w:pStyle w:val="TableParagraph"/>
              <w:ind w:right="104"/>
              <w:jc w:val="right"/>
              <w:rPr>
                <w:rFonts w:ascii="Times New Roman"/>
                <w:sz w:val="21"/>
              </w:rPr>
            </w:pPr>
            <w:r>
              <w:rPr>
                <w:rFonts w:ascii="Times New Roman"/>
                <w:spacing w:val="-2"/>
                <w:sz w:val="21"/>
              </w:rPr>
              <w:t>13,205,179</w:t>
            </w:r>
          </w:p>
        </w:tc>
        <w:tc>
          <w:tcPr>
            <w:tcW w:w="1375" w:type="dxa"/>
          </w:tcPr>
          <w:p>
            <w:pPr>
              <w:pStyle w:val="TableParagraph"/>
              <w:rPr>
                <w:rFonts w:ascii="Times New Roman"/>
                <w:sz w:val="20"/>
              </w:rPr>
            </w:pPr>
          </w:p>
        </w:tc>
        <w:tc>
          <w:tcPr>
            <w:tcW w:w="1264" w:type="dxa"/>
          </w:tcPr>
          <w:p>
            <w:pPr>
              <w:pStyle w:val="TableParagraph"/>
              <w:spacing w:before="66"/>
              <w:rPr>
                <w:sz w:val="21"/>
              </w:rPr>
            </w:pPr>
          </w:p>
          <w:p>
            <w:pPr>
              <w:pStyle w:val="TableParagraph"/>
              <w:ind w:left="108"/>
              <w:rPr>
                <w:sz w:val="21"/>
              </w:rPr>
            </w:pPr>
            <w:r>
              <w:rPr>
                <w:sz w:val="21"/>
              </w:rPr>
              <w:t xml:space="preserve">Not applicable</w:t>
            </w:r>
          </w:p>
        </w:tc>
        <w:tc>
          <w:tcPr>
            <w:tcW w:w="1752" w:type="dxa"/>
          </w:tcPr>
          <w:p>
            <w:pPr>
              <w:pStyle w:val="TableParagraph"/>
              <w:rPr>
                <w:rFonts w:ascii="Times New Roman"/>
                <w:sz w:val="20"/>
              </w:rPr>
            </w:pPr>
          </w:p>
        </w:tc>
      </w:tr>
      <w:tr>
        <w:trPr>
          <w:trHeight w:val="960" w:hRule="atLeast"/>
        </w:trPr>
        <w:tc>
          <w:tcPr>
            <w:tcW w:w="1395" w:type="dxa"/>
          </w:tcPr>
          <w:p>
            <w:pPr>
              <w:pStyle w:val="TableParagraph"/>
              <w:spacing w:line="240" w:lineRule="exact"/>
              <w:ind w:left="106" w:right="232"/>
              <w:jc w:val="both"/>
              <w:rPr>
                <w:sz w:val="21"/>
              </w:rPr>
            </w:pPr>
            <w:r>
              <w:rPr>
                <w:sz w:val="21"/>
              </w:rPr>
              <w:t xml:space="preserve">Zhengzhou Zeqian Enterprise Management Consulting Centre (Limited Partnership)</w:t>
            </w:r>
          </w:p>
        </w:tc>
        <w:tc>
          <w:tcPr>
            <w:tcW w:w="1375" w:type="dxa"/>
          </w:tcPr>
          <w:p>
            <w:pPr>
              <w:pStyle w:val="TableParagraph"/>
              <w:spacing w:before="244" w:line="211" w:lineRule="auto"/>
              <w:ind w:left="108" w:right="210"/>
              <w:rPr>
                <w:sz w:val="21"/>
              </w:rPr>
            </w:pPr>
            <w:r>
              <w:rPr>
                <w:sz w:val="21"/>
              </w:rPr>
              <w:t xml:space="preserve">Domestic non-state-owned legal entity</w:t>
            </w:r>
          </w:p>
        </w:tc>
        <w:tc>
          <w:tcPr>
            <w:tcW w:w="1000" w:type="dxa"/>
          </w:tcPr>
          <w:p>
            <w:pPr>
              <w:pStyle w:val="TableParagraph"/>
              <w:spacing w:before="83"/>
              <w:rPr>
                <w:sz w:val="21"/>
              </w:rPr>
            </w:pPr>
          </w:p>
          <w:p>
            <w:pPr>
              <w:pStyle w:val="TableParagraph"/>
              <w:spacing w:before="1"/>
              <w:ind w:right="103"/>
              <w:jc w:val="right"/>
              <w:rPr>
                <w:rFonts w:ascii="Times New Roman"/>
                <w:sz w:val="21"/>
              </w:rPr>
            </w:pPr>
            <w:r>
              <w:rPr>
                <w:rFonts w:ascii="Times New Roman"/>
                <w:spacing w:val="-2"/>
                <w:sz w:val="21"/>
              </w:rPr>
              <w:t>3.23%</w:t>
            </w:r>
          </w:p>
        </w:tc>
        <w:tc>
          <w:tcPr>
            <w:tcW w:w="1475" w:type="dxa"/>
          </w:tcPr>
          <w:p>
            <w:pPr>
              <w:pStyle w:val="TableParagraph"/>
              <w:spacing w:before="83"/>
              <w:rPr>
                <w:sz w:val="21"/>
              </w:rPr>
            </w:pPr>
          </w:p>
          <w:p>
            <w:pPr>
              <w:pStyle w:val="TableParagraph"/>
              <w:spacing w:before="1"/>
              <w:ind w:right="104"/>
              <w:jc w:val="right"/>
              <w:rPr>
                <w:rFonts w:ascii="Times New Roman"/>
                <w:sz w:val="21"/>
              </w:rPr>
            </w:pPr>
            <w:r>
              <w:rPr>
                <w:rFonts w:ascii="Times New Roman"/>
                <w:spacing w:val="-2"/>
                <w:sz w:val="21"/>
              </w:rPr>
              <w:t>13,009,679</w:t>
            </w:r>
          </w:p>
        </w:tc>
        <w:tc>
          <w:tcPr>
            <w:tcW w:w="1375" w:type="dxa"/>
          </w:tcPr>
          <w:p>
            <w:pPr>
              <w:pStyle w:val="TableParagraph"/>
              <w:rPr>
                <w:rFonts w:ascii="Times New Roman"/>
                <w:sz w:val="20"/>
              </w:rPr>
            </w:pPr>
          </w:p>
        </w:tc>
        <w:tc>
          <w:tcPr>
            <w:tcW w:w="1264" w:type="dxa"/>
          </w:tcPr>
          <w:p>
            <w:pPr>
              <w:pStyle w:val="TableParagraph"/>
              <w:spacing w:before="65"/>
              <w:rPr>
                <w:sz w:val="21"/>
              </w:rPr>
            </w:pPr>
          </w:p>
          <w:p>
            <w:pPr>
              <w:pStyle w:val="TableParagraph"/>
              <w:spacing w:before="1"/>
              <w:ind w:left="108"/>
              <w:rPr>
                <w:sz w:val="21"/>
              </w:rPr>
            </w:pPr>
            <w:r>
              <w:rPr>
                <w:sz w:val="21"/>
              </w:rPr>
              <w:t xml:space="preserve">Not applicable</w:t>
            </w:r>
          </w:p>
        </w:tc>
        <w:tc>
          <w:tcPr>
            <w:tcW w:w="1752" w:type="dxa"/>
          </w:tcPr>
          <w:p>
            <w:pPr>
              <w:pStyle w:val="TableParagraph"/>
              <w:rPr>
                <w:rFonts w:ascii="Times New Roman"/>
                <w:sz w:val="20"/>
              </w:rPr>
            </w:pPr>
          </w:p>
        </w:tc>
      </w:tr>
      <w:tr>
        <w:trPr>
          <w:trHeight w:val="960" w:hRule="atLeast"/>
        </w:trPr>
        <w:tc>
          <w:tcPr>
            <w:tcW w:w="1395" w:type="dxa"/>
          </w:tcPr>
          <w:p>
            <w:pPr>
              <w:pStyle w:val="TableParagraph"/>
              <w:spacing w:line="240" w:lineRule="exact"/>
              <w:ind w:left="106" w:right="232"/>
              <w:jc w:val="both"/>
              <w:rPr>
                <w:sz w:val="21"/>
              </w:rPr>
            </w:pPr>
            <w:r>
              <w:rPr>
                <w:sz w:val="21"/>
              </w:rPr>
              <w:t xml:space="preserve">Zhengzhou Yuang Enterprise Management Consulting Centre (Limited Partnership)</w:t>
            </w:r>
          </w:p>
        </w:tc>
        <w:tc>
          <w:tcPr>
            <w:tcW w:w="1375" w:type="dxa"/>
          </w:tcPr>
          <w:p>
            <w:pPr>
              <w:pStyle w:val="TableParagraph"/>
              <w:spacing w:before="244" w:line="211" w:lineRule="auto"/>
              <w:ind w:left="108" w:right="210"/>
              <w:rPr>
                <w:sz w:val="21"/>
              </w:rPr>
            </w:pPr>
            <w:r>
              <w:rPr>
                <w:sz w:val="21"/>
              </w:rPr>
              <w:t xml:space="preserve">Domestic non-state-owned legal entity</w:t>
            </w:r>
          </w:p>
        </w:tc>
        <w:tc>
          <w:tcPr>
            <w:tcW w:w="1000" w:type="dxa"/>
          </w:tcPr>
          <w:p>
            <w:pPr>
              <w:pStyle w:val="TableParagraph"/>
              <w:spacing w:before="83"/>
              <w:rPr>
                <w:sz w:val="21"/>
              </w:rPr>
            </w:pPr>
          </w:p>
          <w:p>
            <w:pPr>
              <w:pStyle w:val="TableParagraph"/>
              <w:ind w:right="103"/>
              <w:jc w:val="right"/>
              <w:rPr>
                <w:rFonts w:ascii="Times New Roman"/>
                <w:sz w:val="21"/>
              </w:rPr>
            </w:pPr>
            <w:r>
              <w:rPr>
                <w:rFonts w:ascii="Times New Roman"/>
                <w:spacing w:val="-2"/>
                <w:sz w:val="21"/>
              </w:rPr>
              <w:t>3.10%</w:t>
            </w:r>
          </w:p>
        </w:tc>
        <w:tc>
          <w:tcPr>
            <w:tcW w:w="1475" w:type="dxa"/>
          </w:tcPr>
          <w:p>
            <w:pPr>
              <w:pStyle w:val="TableParagraph"/>
              <w:spacing w:before="83"/>
              <w:rPr>
                <w:sz w:val="21"/>
              </w:rPr>
            </w:pPr>
          </w:p>
          <w:p>
            <w:pPr>
              <w:pStyle w:val="TableParagraph"/>
              <w:ind w:right="104"/>
              <w:jc w:val="right"/>
              <w:rPr>
                <w:rFonts w:ascii="Times New Roman"/>
                <w:sz w:val="21"/>
              </w:rPr>
            </w:pPr>
            <w:r>
              <w:rPr>
                <w:rFonts w:ascii="Times New Roman"/>
                <w:spacing w:val="-2"/>
                <w:sz w:val="21"/>
              </w:rPr>
              <w:t>12,465,779</w:t>
            </w:r>
          </w:p>
        </w:tc>
        <w:tc>
          <w:tcPr>
            <w:tcW w:w="1375" w:type="dxa"/>
          </w:tcPr>
          <w:p>
            <w:pPr>
              <w:pStyle w:val="TableParagraph"/>
              <w:rPr>
                <w:rFonts w:ascii="Times New Roman"/>
                <w:sz w:val="20"/>
              </w:rPr>
            </w:pPr>
          </w:p>
        </w:tc>
        <w:tc>
          <w:tcPr>
            <w:tcW w:w="1264" w:type="dxa"/>
          </w:tcPr>
          <w:p>
            <w:pPr>
              <w:pStyle w:val="TableParagraph"/>
              <w:spacing w:before="65"/>
              <w:rPr>
                <w:sz w:val="21"/>
              </w:rPr>
            </w:pPr>
          </w:p>
          <w:p>
            <w:pPr>
              <w:pStyle w:val="TableParagraph"/>
              <w:ind w:left="108"/>
              <w:rPr>
                <w:sz w:val="21"/>
              </w:rPr>
            </w:pPr>
            <w:r>
              <w:rPr>
                <w:sz w:val="21"/>
              </w:rPr>
              <w:t xml:space="preserve">Not applicable</w:t>
            </w:r>
          </w:p>
        </w:tc>
        <w:tc>
          <w:tcPr>
            <w:tcW w:w="1752" w:type="dxa"/>
          </w:tcPr>
          <w:p>
            <w:pPr>
              <w:pStyle w:val="TableParagraph"/>
              <w:rPr>
                <w:rFonts w:ascii="Times New Roman"/>
                <w:sz w:val="20"/>
              </w:rPr>
            </w:pPr>
          </w:p>
        </w:tc>
      </w:tr>
      <w:tr>
        <w:trPr>
          <w:trHeight w:val="454" w:hRule="atLeast"/>
        </w:trPr>
        <w:tc>
          <w:tcPr>
            <w:tcW w:w="1395" w:type="dxa"/>
          </w:tcPr>
          <w:p>
            <w:pPr>
              <w:pStyle w:val="TableParagraph"/>
              <w:spacing w:before="84"/>
              <w:ind w:left="106"/>
              <w:rPr>
                <w:sz w:val="21"/>
              </w:rPr>
            </w:pPr>
            <w:r>
              <w:rPr>
                <w:sz w:val="21"/>
              </w:rPr>
              <w:t xml:space="preserve">Wang Zhiwei</w:t>
            </w:r>
          </w:p>
        </w:tc>
        <w:tc>
          <w:tcPr>
            <w:tcW w:w="1375" w:type="dxa"/>
          </w:tcPr>
          <w:p>
            <w:pPr>
              <w:pStyle w:val="TableParagraph"/>
              <w:spacing w:before="84"/>
              <w:ind w:left="56" w:right="158"/>
              <w:jc w:val="center"/>
              <w:rPr>
                <w:sz w:val="21"/>
              </w:rPr>
            </w:pPr>
            <w:r>
              <w:rPr>
                <w:sz w:val="21"/>
              </w:rPr>
              <w:t xml:space="preserve">Domestic individual</w:t>
            </w:r>
          </w:p>
        </w:tc>
        <w:tc>
          <w:tcPr>
            <w:tcW w:w="1000" w:type="dxa"/>
          </w:tcPr>
          <w:p>
            <w:pPr>
              <w:pStyle w:val="TableParagraph"/>
              <w:spacing w:before="102"/>
              <w:ind w:right="103"/>
              <w:jc w:val="right"/>
              <w:rPr>
                <w:rFonts w:ascii="Times New Roman"/>
                <w:sz w:val="21"/>
              </w:rPr>
            </w:pPr>
            <w:r>
              <w:rPr>
                <w:rFonts w:ascii="Times New Roman"/>
                <w:spacing w:val="-2"/>
                <w:sz w:val="21"/>
              </w:rPr>
              <w:t>2.47%</w:t>
            </w:r>
          </w:p>
        </w:tc>
        <w:tc>
          <w:tcPr>
            <w:tcW w:w="1475" w:type="dxa"/>
          </w:tcPr>
          <w:p>
            <w:pPr>
              <w:pStyle w:val="TableParagraph"/>
              <w:spacing w:before="102"/>
              <w:ind w:right="102"/>
              <w:jc w:val="right"/>
              <w:rPr>
                <w:rFonts w:ascii="Times New Roman"/>
                <w:sz w:val="21"/>
              </w:rPr>
            </w:pPr>
            <w:r>
              <w:rPr>
                <w:rFonts w:ascii="Times New Roman"/>
                <w:spacing w:val="-2"/>
                <w:sz w:val="21"/>
              </w:rPr>
              <w:t>9,923,243</w:t>
            </w:r>
          </w:p>
        </w:tc>
        <w:tc>
          <w:tcPr>
            <w:tcW w:w="1375" w:type="dxa"/>
          </w:tcPr>
          <w:p>
            <w:pPr>
              <w:pStyle w:val="TableParagraph"/>
              <w:rPr>
                <w:rFonts w:ascii="Times New Roman"/>
                <w:sz w:val="20"/>
              </w:rPr>
            </w:pPr>
          </w:p>
        </w:tc>
        <w:tc>
          <w:tcPr>
            <w:tcW w:w="1264" w:type="dxa"/>
          </w:tcPr>
          <w:p>
            <w:pPr>
              <w:pStyle w:val="TableParagraph"/>
              <w:spacing w:before="84"/>
              <w:ind w:left="108"/>
              <w:rPr>
                <w:sz w:val="21"/>
              </w:rPr>
            </w:pPr>
            <w:r>
              <w:rPr>
                <w:sz w:val="21"/>
              </w:rPr>
              <w:t xml:space="preserve">Not applicable</w:t>
            </w:r>
          </w:p>
        </w:tc>
        <w:tc>
          <w:tcPr>
            <w:tcW w:w="1752" w:type="dxa"/>
          </w:tcPr>
          <w:p>
            <w:pPr>
              <w:pStyle w:val="TableParagraph"/>
              <w:rPr>
                <w:rFonts w:ascii="Times New Roman"/>
                <w:sz w:val="20"/>
              </w:rPr>
            </w:pPr>
          </w:p>
        </w:tc>
      </w:tr>
      <w:tr>
        <w:trPr>
          <w:trHeight w:val="453" w:hRule="atLeast"/>
        </w:trPr>
        <w:tc>
          <w:tcPr>
            <w:tcW w:w="1395" w:type="dxa"/>
          </w:tcPr>
          <w:p>
            <w:pPr>
              <w:pStyle w:val="TableParagraph"/>
              <w:spacing w:before="86"/>
              <w:ind w:left="106"/>
              <w:rPr>
                <w:sz w:val="21"/>
              </w:rPr>
            </w:pPr>
            <w:r>
              <w:rPr>
                <w:sz w:val="21"/>
              </w:rPr>
              <w:t xml:space="preserve">Tian Lin</w:t>
            </w:r>
          </w:p>
        </w:tc>
        <w:tc>
          <w:tcPr>
            <w:tcW w:w="1375" w:type="dxa"/>
          </w:tcPr>
          <w:p>
            <w:pPr>
              <w:pStyle w:val="TableParagraph"/>
              <w:spacing w:before="86"/>
              <w:ind w:left="56" w:right="158"/>
              <w:jc w:val="center"/>
              <w:rPr>
                <w:sz w:val="21"/>
              </w:rPr>
            </w:pPr>
            <w:r>
              <w:rPr>
                <w:sz w:val="21"/>
              </w:rPr>
              <w:t xml:space="preserve">Domestic individual</w:t>
            </w:r>
          </w:p>
        </w:tc>
        <w:tc>
          <w:tcPr>
            <w:tcW w:w="1000" w:type="dxa"/>
          </w:tcPr>
          <w:p>
            <w:pPr>
              <w:pStyle w:val="TableParagraph"/>
              <w:spacing w:before="104"/>
              <w:ind w:right="103"/>
              <w:jc w:val="right"/>
              <w:rPr>
                <w:rFonts w:ascii="Times New Roman"/>
                <w:sz w:val="21"/>
              </w:rPr>
            </w:pPr>
            <w:r>
              <w:rPr>
                <w:rFonts w:ascii="Times New Roman"/>
                <w:spacing w:val="-2"/>
                <w:sz w:val="21"/>
              </w:rPr>
              <w:t>2.47%</w:t>
            </w:r>
          </w:p>
        </w:tc>
        <w:tc>
          <w:tcPr>
            <w:tcW w:w="1475" w:type="dxa"/>
          </w:tcPr>
          <w:p>
            <w:pPr>
              <w:pStyle w:val="TableParagraph"/>
              <w:spacing w:before="104"/>
              <w:ind w:right="102"/>
              <w:jc w:val="right"/>
              <w:rPr>
                <w:rFonts w:ascii="Times New Roman"/>
                <w:sz w:val="21"/>
              </w:rPr>
            </w:pPr>
            <w:r>
              <w:rPr>
                <w:rFonts w:ascii="Times New Roman"/>
                <w:spacing w:val="-2"/>
                <w:sz w:val="21"/>
              </w:rPr>
              <w:t>9,923,243</w:t>
            </w:r>
          </w:p>
        </w:tc>
        <w:tc>
          <w:tcPr>
            <w:tcW w:w="1375" w:type="dxa"/>
          </w:tcPr>
          <w:p>
            <w:pPr>
              <w:pStyle w:val="TableParagraph"/>
              <w:spacing w:before="104"/>
              <w:ind w:right="101"/>
              <w:jc w:val="right"/>
              <w:rPr>
                <w:rFonts w:ascii="Times New Roman"/>
                <w:sz w:val="21"/>
              </w:rPr>
            </w:pPr>
            <w:r>
              <w:rPr>
                <w:rFonts w:ascii="Times New Roman"/>
                <w:spacing w:val="-2"/>
                <w:sz w:val="21"/>
              </w:rPr>
              <w:t>7,442,432</w:t>
            </w:r>
          </w:p>
        </w:tc>
        <w:tc>
          <w:tcPr>
            <w:tcW w:w="1264" w:type="dxa"/>
          </w:tcPr>
          <w:p>
            <w:pPr>
              <w:pStyle w:val="TableParagraph"/>
              <w:spacing w:before="86"/>
              <w:ind w:left="108"/>
              <w:rPr>
                <w:sz w:val="21"/>
              </w:rPr>
            </w:pPr>
            <w:r>
              <w:rPr>
                <w:sz w:val="21"/>
              </w:rPr>
              <w:t xml:space="preserve">Not applicable</w:t>
            </w:r>
          </w:p>
        </w:tc>
        <w:tc>
          <w:tcPr>
            <w:tcW w:w="1752" w:type="dxa"/>
          </w:tcPr>
          <w:p>
            <w:pPr>
              <w:pStyle w:val="TableParagraph"/>
              <w:rPr>
                <w:rFonts w:ascii="Times New Roman"/>
                <w:sz w:val="20"/>
              </w:rPr>
            </w:pPr>
          </w:p>
        </w:tc>
      </w:tr>
      <w:tr>
        <w:trPr>
          <w:trHeight w:val="717" w:hRule="atLeast"/>
        </w:trPr>
        <w:tc>
          <w:tcPr>
            <w:tcW w:w="1395" w:type="dxa"/>
          </w:tcPr>
          <w:p>
            <w:pPr>
              <w:pStyle w:val="TableParagraph"/>
              <w:spacing w:before="3" w:line="211" w:lineRule="auto"/>
              <w:ind w:left="106" w:right="232"/>
              <w:rPr>
                <w:sz w:val="21"/>
              </w:rPr>
            </w:pPr>
            <w:r>
              <w:rPr>
                <w:sz w:val="21"/>
              </w:rPr>
              <w:t xml:space="preserve">Zhuhai Fubang Kairui Management Consulting</w:t>
            </w:r>
          </w:p>
          <w:p>
            <w:pPr>
              <w:pStyle w:val="TableParagraph"/>
              <w:spacing w:line="215" w:lineRule="exact"/>
              <w:ind w:left="106"/>
              <w:rPr>
                <w:sz w:val="21"/>
              </w:rPr>
            </w:pPr>
            <w:r>
              <w:rPr>
                <w:sz w:val="21"/>
              </w:rPr>
              <w:t xml:space="preserve">Enterprise (Limited</w:t>
            </w:r>
          </w:p>
        </w:tc>
        <w:tc>
          <w:tcPr>
            <w:tcW w:w="1375" w:type="dxa"/>
          </w:tcPr>
          <w:p>
            <w:pPr>
              <w:pStyle w:val="TableParagraph"/>
              <w:spacing w:before="123" w:line="211" w:lineRule="auto"/>
              <w:ind w:left="108" w:right="210"/>
              <w:rPr>
                <w:sz w:val="21"/>
              </w:rPr>
            </w:pPr>
            <w:r>
              <w:rPr>
                <w:sz w:val="21"/>
              </w:rPr>
              <w:t xml:space="preserve">Domestic non-state-owned legal entity</w:t>
            </w:r>
          </w:p>
        </w:tc>
        <w:tc>
          <w:tcPr>
            <w:tcW w:w="1000" w:type="dxa"/>
          </w:tcPr>
          <w:p>
            <w:pPr>
              <w:pStyle w:val="TableParagraph"/>
              <w:spacing w:before="235"/>
              <w:ind w:right="103"/>
              <w:jc w:val="right"/>
              <w:rPr>
                <w:rFonts w:ascii="Times New Roman"/>
                <w:sz w:val="21"/>
              </w:rPr>
            </w:pPr>
            <w:r>
              <w:rPr>
                <w:rFonts w:ascii="Times New Roman"/>
                <w:spacing w:val="-2"/>
                <w:sz w:val="21"/>
              </w:rPr>
              <w:t>2.05%</w:t>
            </w:r>
          </w:p>
        </w:tc>
        <w:tc>
          <w:tcPr>
            <w:tcW w:w="1475" w:type="dxa"/>
          </w:tcPr>
          <w:p>
            <w:pPr>
              <w:pStyle w:val="TableParagraph"/>
              <w:spacing w:before="235"/>
              <w:ind w:right="102"/>
              <w:jc w:val="right"/>
              <w:rPr>
                <w:rFonts w:ascii="Times New Roman"/>
                <w:sz w:val="21"/>
              </w:rPr>
            </w:pPr>
            <w:r>
              <w:rPr>
                <w:rFonts w:ascii="Times New Roman"/>
                <w:spacing w:val="-2"/>
                <w:sz w:val="21"/>
              </w:rPr>
              <w:t>8,251,299</w:t>
            </w:r>
          </w:p>
        </w:tc>
        <w:tc>
          <w:tcPr>
            <w:tcW w:w="1375" w:type="dxa"/>
          </w:tcPr>
          <w:p>
            <w:pPr>
              <w:pStyle w:val="TableParagraph"/>
              <w:rPr>
                <w:rFonts w:ascii="Times New Roman"/>
                <w:sz w:val="20"/>
              </w:rPr>
            </w:pPr>
          </w:p>
        </w:tc>
        <w:tc>
          <w:tcPr>
            <w:tcW w:w="1264" w:type="dxa"/>
          </w:tcPr>
          <w:p>
            <w:pPr>
              <w:pStyle w:val="TableParagraph"/>
              <w:spacing w:before="217"/>
              <w:ind w:left="108"/>
              <w:rPr>
                <w:sz w:val="21"/>
              </w:rPr>
            </w:pPr>
            <w:r>
              <w:rPr>
                <w:sz w:val="21"/>
              </w:rPr>
              <w:t xml:space="preserve">Not applicable</w:t>
            </w:r>
          </w:p>
        </w:tc>
        <w:tc>
          <w:tcPr>
            <w:tcW w:w="1752" w:type="dxa"/>
          </w:tcPr>
          <w:p>
            <w:pPr>
              <w:pStyle w:val="TableParagraph"/>
              <w:rPr>
                <w:rFonts w:ascii="Times New Roman"/>
                <w:sz w:val="20"/>
              </w:rPr>
            </w:pPr>
          </w:p>
        </w:tc>
      </w:tr>
    </w:tbl>
    <w:p>
      <w:pPr>
        <w:pStyle w:val="TableParagraph"/>
        <w:spacing w:after="0"/>
        <w:rPr>
          <w:rFonts w:ascii="Times New Roman"/>
          <w:sz w:val="20"/>
        </w:rPr>
        <w:sectPr>
          <w:pgSz w:w="11910" w:h="16840"/>
          <w:pgMar w:top="1400" w:right="1133" w:bottom="1180" w:left="992" w:header="878" w:footer="999"/>
        </w:sectPr>
      </w:pPr>
    </w:p>
    <w:p>
      <w:pPr>
        <w:pStyle w:val="BodyText"/>
        <w:spacing w:before="12"/>
        <w:rPr>
          <w:sz w:val="2"/>
        </w:rPr>
      </w:pPr>
    </w:p>
    <w:tbl>
      <w:tblPr>
        <w:tblW w:w="0" w:type="auto"/>
        <w:jc w:val="left"/>
        <w:tblInd w:w="3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Look w:val="01E0"/>
      </w:tblPr>
      <w:tblGrid>
        <w:gridCol w:w="1395"/>
        <w:gridCol w:w="1375"/>
        <w:gridCol w:w="1000"/>
        <w:gridCol w:w="1475"/>
        <w:gridCol w:w="1375"/>
        <w:gridCol w:w="1264"/>
        <w:gridCol w:w="1752"/>
      </w:tblGrid>
      <w:tr>
        <w:trPr>
          <w:trHeight w:val="453" w:hRule="atLeast"/>
        </w:trPr>
        <w:tc>
          <w:tcPr>
            <w:tcW w:w="1395" w:type="dxa"/>
          </w:tcPr>
          <w:p>
            <w:pPr>
              <w:pStyle w:val="TableParagraph"/>
              <w:spacing w:line="252" w:lineRule="exact"/>
              <w:ind w:left="106"/>
              <w:rPr>
                <w:sz w:val="21"/>
              </w:rPr>
            </w:pPr>
            <w:r>
              <w:rPr>
                <w:sz w:val="21"/>
              </w:rPr>
              <w:t xml:space="preserve">Partnership)</w:t>
            </w:r>
          </w:p>
        </w:tc>
        <w:tc>
          <w:tcPr>
            <w:tcW w:w="1375" w:type="dxa"/>
          </w:tcPr>
          <w:p>
            <w:pPr>
              <w:pStyle w:val="TableParagraph"/>
              <w:rPr>
                <w:rFonts w:ascii="Times New Roman"/>
                <w:sz w:val="22"/>
              </w:rPr>
            </w:pPr>
          </w:p>
        </w:tc>
        <w:tc>
          <w:tcPr>
            <w:tcW w:w="1000" w:type="dxa"/>
          </w:tcPr>
          <w:p>
            <w:pPr>
              <w:pStyle w:val="TableParagraph"/>
              <w:rPr>
                <w:rFonts w:ascii="Times New Roman"/>
                <w:sz w:val="22"/>
              </w:rPr>
            </w:pPr>
          </w:p>
        </w:tc>
        <w:tc>
          <w:tcPr>
            <w:tcW w:w="1475" w:type="dxa"/>
          </w:tcPr>
          <w:p>
            <w:pPr>
              <w:pStyle w:val="TableParagraph"/>
              <w:rPr>
                <w:rFonts w:ascii="Times New Roman"/>
                <w:sz w:val="22"/>
              </w:rPr>
            </w:pPr>
          </w:p>
        </w:tc>
        <w:tc>
          <w:tcPr>
            <w:tcW w:w="1375" w:type="dxa"/>
          </w:tcPr>
          <w:p>
            <w:pPr>
              <w:pStyle w:val="TableParagraph"/>
              <w:rPr>
                <w:rFonts w:ascii="Times New Roman"/>
                <w:sz w:val="22"/>
              </w:rPr>
            </w:pPr>
          </w:p>
        </w:tc>
        <w:tc>
          <w:tcPr>
            <w:tcW w:w="1264" w:type="dxa"/>
          </w:tcPr>
          <w:p>
            <w:pPr>
              <w:pStyle w:val="TableParagraph"/>
              <w:rPr>
                <w:rFonts w:ascii="Times New Roman"/>
                <w:sz w:val="22"/>
              </w:rPr>
            </w:pPr>
          </w:p>
        </w:tc>
        <w:tc>
          <w:tcPr>
            <w:tcW w:w="1752" w:type="dxa"/>
          </w:tcPr>
          <w:p>
            <w:pPr>
              <w:pStyle w:val="TableParagraph"/>
              <w:rPr>
                <w:rFonts w:ascii="Times New Roman"/>
                <w:sz w:val="22"/>
              </w:rPr>
            </w:pPr>
          </w:p>
        </w:tc>
      </w:tr>
      <w:tr>
        <w:trPr>
          <w:trHeight w:val="960" w:hRule="atLeast"/>
        </w:trPr>
        <w:tc>
          <w:tcPr>
            <w:tcW w:w="1395" w:type="dxa"/>
          </w:tcPr>
          <w:p>
            <w:pPr>
              <w:pStyle w:val="TableParagraph"/>
              <w:spacing w:line="240" w:lineRule="exact"/>
              <w:ind w:left="106" w:right="232"/>
              <w:jc w:val="both"/>
              <w:rPr>
                <w:sz w:val="21"/>
              </w:rPr>
            </w:pPr>
            <w:r>
              <w:rPr>
                <w:sz w:val="21"/>
              </w:rPr>
              <w:t xml:space="preserve">Service Trade Innovation and Development Guidance Fund (Limited Partnership)</w:t>
            </w:r>
          </w:p>
        </w:tc>
        <w:tc>
          <w:tcPr>
            <w:tcW w:w="1375" w:type="dxa"/>
          </w:tcPr>
          <w:p>
            <w:pPr>
              <w:pStyle w:val="TableParagraph"/>
              <w:spacing w:before="244" w:line="211" w:lineRule="auto"/>
              <w:ind w:left="108" w:right="210"/>
              <w:rPr>
                <w:sz w:val="21"/>
              </w:rPr>
            </w:pPr>
            <w:r>
              <w:rPr>
                <w:sz w:val="21"/>
              </w:rPr>
              <w:t xml:space="preserve">Domestic non-state-owned legal entity</w:t>
            </w:r>
          </w:p>
        </w:tc>
        <w:tc>
          <w:tcPr>
            <w:tcW w:w="1000" w:type="dxa"/>
          </w:tcPr>
          <w:p>
            <w:pPr>
              <w:pStyle w:val="TableParagraph"/>
              <w:spacing w:before="83"/>
              <w:rPr>
                <w:sz w:val="21"/>
              </w:rPr>
            </w:pPr>
          </w:p>
          <w:p>
            <w:pPr>
              <w:pStyle w:val="TableParagraph"/>
              <w:ind w:left="348"/>
              <w:rPr>
                <w:rFonts w:ascii="Times New Roman"/>
                <w:sz w:val="21"/>
              </w:rPr>
            </w:pPr>
            <w:r>
              <w:rPr>
                <w:rFonts w:ascii="Times New Roman"/>
                <w:spacing w:val="-2"/>
                <w:sz w:val="21"/>
              </w:rPr>
              <w:t>1.33%</w:t>
            </w:r>
          </w:p>
        </w:tc>
        <w:tc>
          <w:tcPr>
            <w:tcW w:w="1475" w:type="dxa"/>
          </w:tcPr>
          <w:p>
            <w:pPr>
              <w:pStyle w:val="TableParagraph"/>
              <w:spacing w:before="83"/>
              <w:rPr>
                <w:sz w:val="21"/>
              </w:rPr>
            </w:pPr>
          </w:p>
          <w:p>
            <w:pPr>
              <w:pStyle w:val="TableParagraph"/>
              <w:ind w:left="527"/>
              <w:rPr>
                <w:rFonts w:ascii="Times New Roman"/>
                <w:sz w:val="21"/>
              </w:rPr>
            </w:pPr>
            <w:r>
              <w:rPr>
                <w:rFonts w:ascii="Times New Roman"/>
                <w:spacing w:val="-2"/>
                <w:sz w:val="21"/>
              </w:rPr>
              <w:t>5,365,000</w:t>
            </w:r>
          </w:p>
        </w:tc>
        <w:tc>
          <w:tcPr>
            <w:tcW w:w="1375" w:type="dxa"/>
          </w:tcPr>
          <w:p>
            <w:pPr>
              <w:pStyle w:val="TableParagraph"/>
              <w:rPr>
                <w:rFonts w:ascii="Times New Roman"/>
                <w:sz w:val="22"/>
              </w:rPr>
            </w:pPr>
          </w:p>
        </w:tc>
        <w:tc>
          <w:tcPr>
            <w:tcW w:w="1264" w:type="dxa"/>
          </w:tcPr>
          <w:p>
            <w:pPr>
              <w:pStyle w:val="TableParagraph"/>
              <w:spacing w:before="65"/>
              <w:rPr>
                <w:sz w:val="21"/>
              </w:rPr>
            </w:pPr>
          </w:p>
          <w:p>
            <w:pPr>
              <w:pStyle w:val="TableParagraph"/>
              <w:ind w:left="108"/>
              <w:rPr>
                <w:sz w:val="21"/>
              </w:rPr>
            </w:pPr>
            <w:r>
              <w:rPr>
                <w:sz w:val="21"/>
              </w:rPr>
              <w:t xml:space="preserve">Not applicable</w:t>
            </w:r>
          </w:p>
        </w:tc>
        <w:tc>
          <w:tcPr>
            <w:tcW w:w="1752" w:type="dxa"/>
          </w:tcPr>
          <w:p>
            <w:pPr>
              <w:pStyle w:val="TableParagraph"/>
              <w:rPr>
                <w:rFonts w:ascii="Times New Roman"/>
                <w:sz w:val="22"/>
              </w:rPr>
            </w:pPr>
          </w:p>
        </w:tc>
      </w:tr>
      <w:tr>
        <w:trPr>
          <w:trHeight w:val="960" w:hRule="atLeast"/>
        </w:trPr>
        <w:tc>
          <w:tcPr>
            <w:tcW w:w="2770" w:type="dxa"/>
            <w:gridSpan w:val="2"/>
            <w:shd w:val="clear" w:color="auto" w:fill="D2D2D2"/>
          </w:tcPr>
          <w:p>
            <w:pPr>
              <w:pStyle w:val="TableParagraph"/>
              <w:spacing w:before="244" w:line="211" w:lineRule="auto"/>
              <w:ind w:left="106" w:right="138"/>
              <w:rPr>
                <w:sz w:val="21"/>
              </w:rPr>
            </w:pPr>
            <w:r>
              <w:rPr>
                <w:sz w:val="21"/>
              </w:rPr>
              <w:t xml:space="preserve">Description of connected relationships or concerted actions among the above shareholders</w:t>
            </w:r>
          </w:p>
        </w:tc>
        <w:tc>
          <w:tcPr>
            <w:tcW w:w="6866" w:type="dxa"/>
            <w:gridSpan w:val="5"/>
          </w:tcPr>
          <w:p>
            <w:pPr>
              <w:pStyle w:val="TableParagraph"/>
              <w:spacing w:before="4" w:line="211" w:lineRule="auto"/>
              <w:ind w:left="108" w:right="483"/>
              <w:rPr>
                <w:sz w:val="21"/>
              </w:rPr>
            </w:pPr>
            <w:r>
              <w:rPr>
                <w:sz w:val="21"/>
              </w:rPr>
              <w:t xml:space="preserve">As at </w:t>
            </w:r>
            <w:r>
              <w:rPr>
                <w:rFonts w:ascii="Times New Roman" w:hAnsi="Times New Roman"/>
                <w:sz w:val="21"/>
              </w:rPr>
              <w:t xml:space="preserve">2026 </w:t>
            </w:r>
            <w:r>
              <w:rPr>
                <w:sz w:val="21"/>
              </w:rPr>
              <w:t xml:space="preserve">- </w:t>
            </w:r>
            <w:r>
              <w:rPr>
                <w:rFonts w:ascii="Times New Roman" w:hAnsi="Times New Roman"/>
                <w:sz w:val="21"/>
              </w:rPr>
              <w:t xml:space="preserve">6 </w:t>
            </w:r>
            <w:r>
              <w:rPr>
                <w:sz w:val="21"/>
              </w:rPr>
              <w:t xml:space="preserve">- </w:t>
            </w:r>
            <w:r>
              <w:rPr>
                <w:rFonts w:ascii="Times New Roman" w:hAnsi="Times New Roman"/>
                <w:sz w:val="21"/>
              </w:rPr>
              <w:t xml:space="preserve">30 </w:t>
            </w:r>
            <w:r>
              <w:rPr>
                <w:sz w:val="21"/>
              </w:rPr>
              <w:t xml:space="preserve">, Tian Lin was the executive partner of Zhengzhou Zeqian Enterprise Management Consulting Centre (Limited Partnership).</w:t>
            </w:r>
          </w:p>
          <w:p>
            <w:pPr>
              <w:pStyle w:val="TableParagraph"/>
              <w:spacing w:line="230" w:lineRule="exact"/>
              <w:ind w:left="108"/>
              <w:rPr>
                <w:sz w:val="21"/>
              </w:rPr>
            </w:pPr>
            <w:r>
              <w:rPr>
                <w:sz w:val="21"/>
              </w:rPr>
              <w:t xml:space="preserve">Save as disclosed above, the Company is not aware whether any connected relationship or concerted-action</w:t>
            </w:r>
          </w:p>
          <w:p>
            <w:pPr>
              <w:pStyle w:val="TableParagraph"/>
              <w:spacing w:line="225" w:lineRule="exact"/>
              <w:ind w:left="108"/>
              <w:rPr>
                <w:sz w:val="21"/>
              </w:rPr>
            </w:pPr>
            <w:r>
              <w:rPr>
                <w:sz w:val="21"/>
              </w:rPr>
              <w:t xml:space="preserve">relationship exists among other shareholders.</w:t>
            </w:r>
          </w:p>
        </w:tc>
      </w:tr>
      <w:tr>
        <w:trPr>
          <w:trHeight w:val="800" w:hRule="atLeast"/>
        </w:trPr>
        <w:tc>
          <w:tcPr>
            <w:tcW w:w="2770" w:type="dxa"/>
            <w:gridSpan w:val="2"/>
            <w:shd w:val="clear" w:color="auto" w:fill="D2D2D2"/>
          </w:tcPr>
          <w:p>
            <w:pPr>
              <w:pStyle w:val="TableParagraph"/>
              <w:spacing w:before="44" w:line="211" w:lineRule="auto"/>
              <w:ind w:left="106" w:right="251"/>
              <w:rPr>
                <w:sz w:val="21"/>
              </w:rPr>
            </w:pPr>
            <w:r>
              <w:rPr>
                <w:sz w:val="21"/>
              </w:rPr>
              <w:t xml:space="preserve">Top </w:t>
            </w:r>
            <w:r>
              <w:rPr>
                <w:rFonts w:ascii="Times New Roman" w:hAnsi="Times New Roman"/>
                <w:sz w:val="21"/>
              </w:rPr>
              <w:t xml:space="preserve">10 </w:t>
            </w:r>
            <w:r>
              <w:rPr>
                <w:sz w:val="21"/>
              </w:rPr>
              <w:t xml:space="preserve">ordinary shareholders participating in margin trading and securities lending - Explanation</w:t>
            </w:r>
          </w:p>
          <w:p>
            <w:pPr>
              <w:pStyle w:val="TableParagraph"/>
              <w:spacing w:line="247" w:lineRule="exact"/>
              <w:ind w:left="106"/>
              <w:rPr>
                <w:sz w:val="21"/>
              </w:rPr>
            </w:pPr>
            <w:r>
              <w:rPr>
                <w:sz w:val="21"/>
              </w:rPr>
              <w:t xml:space="preserve">(if any)</w:t>
            </w:r>
          </w:p>
        </w:tc>
        <w:tc>
          <w:tcPr>
            <w:tcW w:w="6866" w:type="dxa"/>
            <w:gridSpan w:val="5"/>
          </w:tcPr>
          <w:p>
            <w:pPr>
              <w:pStyle w:val="TableParagraph"/>
              <w:spacing w:before="258"/>
              <w:ind w:left="108"/>
              <w:rPr>
                <w:sz w:val="21"/>
              </w:rPr>
            </w:pPr>
            <w:r>
              <w:rPr>
                <w:sz w:val="21"/>
              </w:rPr>
              <w:t xml:space="preserve">Not applicable</w:t>
            </w:r>
          </w:p>
        </w:tc>
      </w:tr>
    </w:tbl>
    <w:p>
      <w:pPr>
        <w:pStyle w:val="BodyText"/>
        <w:spacing w:before="77"/>
        <w:ind w:left="140"/>
      </w:pPr>
      <w:r>
        <w:rPr>
          <w:spacing w:val="-3"/>
        </w:rPr>
        <w:t xml:space="preserve">Shares lent through the securities refinancing business by shareholders holding more than </w:t>
      </w:r>
      <w:r>
        <w:rPr>
          <w:rFonts w:ascii="Times New Roman" w:hAnsi="Times New Roman"/>
          <w:spacing w:val="-3"/>
        </w:rPr>
        <w:t xml:space="preserve">5%</w:t>
      </w:r>
      <w:r>
        <w:rPr>
          <w:spacing w:val="-3"/>
        </w:rPr>
        <w:t xml:space="preserve">, the top </w:t>
      </w:r>
      <w:r>
        <w:rPr>
          <w:rFonts w:ascii="Times New Roman" w:hAnsi="Times New Roman"/>
          <w:spacing w:val="-3"/>
        </w:rPr>
        <w:t xml:space="preserve">10</w:t>
      </w:r>
      <w:r>
        <w:rPr>
          <w:spacing w:val="-3"/>
        </w:rPr>
        <w:t xml:space="preserve"> shareholders and the top </w:t>
      </w:r>
      <w:r>
        <w:rPr>
          <w:rFonts w:ascii="Times New Roman" w:hAnsi="Times New Roman"/>
          <w:spacing w:val="-3"/>
        </w:rPr>
        <w:t xml:space="preserve">10</w:t>
      </w:r>
      <w:r>
        <w:rPr>
          <w:spacing w:val="-3"/>
        </w:rPr>
        <w:t xml:space="preserve"> holders of unrestricted tradable shares</w:t>
      </w:r>
    </w:p>
    <w:p>
      <w:pPr>
        <w:pStyle w:val="BodyText"/>
        <w:spacing w:before="156"/>
        <w:ind w:left="140"/>
      </w:pPr>
      <w:r>
        <w:rPr>
          <w:spacing w:val="-18"/>
        </w:rPr>
        <w:t xml:space="preserve">□Applicable </w:t>
      </w:r>
      <w:r>
        <w:rPr>
          <w:rFonts w:ascii="Wingdings 2" w:hAnsi="Wingdings 2"/>
          <w:spacing w:val="-18"/>
        </w:rPr>
        <w:t xml:space="preserve">☑</w:t>
      </w:r>
      <w:r>
        <w:rPr>
          <w:spacing w:val="-18"/>
        </w:rPr>
        <w:t xml:space="preserve">Not Applicable</w:t>
      </w:r>
    </w:p>
    <w:p>
      <w:pPr>
        <w:pStyle w:val="BodyText"/>
        <w:spacing w:before="156"/>
        <w:ind w:left="140"/>
      </w:pPr>
      <w:r>
        <w:rPr>
          <w:spacing w:val="-2"/>
        </w:rPr>
        <w:t xml:space="preserve">Changes in the top </w:t>
      </w:r>
      <w:r>
        <w:rPr>
          <w:rFonts w:ascii="Times New Roman" w:hAnsi="Times New Roman"/>
          <w:spacing w:val="-2"/>
        </w:rPr>
        <w:t xml:space="preserve">10</w:t>
      </w:r>
      <w:r>
        <w:rPr>
          <w:spacing w:val="-2"/>
        </w:rPr>
        <w:t xml:space="preserve"> shareholders and the top </w:t>
      </w:r>
      <w:r>
        <w:rPr>
          <w:rFonts w:ascii="Times New Roman" w:hAnsi="Times New Roman"/>
          <w:spacing w:val="-2"/>
        </w:rPr>
        <w:t xml:space="preserve">10</w:t>
      </w:r>
      <w:r>
        <w:rPr>
          <w:spacing w:val="-2"/>
        </w:rPr>
        <w:t xml:space="preserve"> holders of unrestricted tradable shares compared with the previous period due to lending </w:t>
      </w:r>
      <w:r>
        <w:rPr>
          <w:rFonts w:ascii="Times New Roman" w:hAnsi="Times New Roman"/>
          <w:spacing w:val="-2"/>
        </w:rPr>
        <w:t xml:space="preserve">/</w:t>
      </w:r>
      <w:r>
        <w:rPr>
          <w:spacing w:val="-2"/>
        </w:rPr>
        <w:t xml:space="preserve"> return through securities refinancing</w:t>
      </w:r>
    </w:p>
    <w:p>
      <w:pPr>
        <w:pStyle w:val="BodyText"/>
        <w:spacing w:before="156"/>
        <w:ind w:left="140"/>
      </w:pPr>
      <w:r>
        <w:rPr>
          <w:spacing w:val="-18"/>
        </w:rPr>
        <w:t xml:space="preserve">□Applicable </w:t>
      </w:r>
      <w:r>
        <w:rPr>
          <w:rFonts w:ascii="Wingdings 2" w:hAnsi="Wingdings 2"/>
          <w:spacing w:val="-18"/>
        </w:rPr>
        <w:t xml:space="preserve">☑</w:t>
      </w:r>
      <w:r>
        <w:rPr>
          <w:spacing w:val="-18"/>
        </w:rPr>
        <w:t xml:space="preserve">Not Applicable</w:t>
      </w:r>
    </w:p>
    <w:p>
      <w:pPr>
        <w:pStyle w:val="BodyText"/>
        <w:spacing w:before="156"/>
        <w:ind w:left="140"/>
      </w:pPr>
      <w:r>
        <w:rPr>
          <w:spacing w:val="-1"/>
        </w:rPr>
        <w:t xml:space="preserve">Whether the Company has differentiated voting rights arrangements</w:t>
      </w:r>
    </w:p>
    <w:p>
      <w:pPr>
        <w:pStyle w:val="BodyText"/>
        <w:spacing w:before="156"/>
        <w:ind w:left="140"/>
      </w:pPr>
      <w:r>
        <w:rPr>
          <w:spacing w:val="-26"/>
        </w:rPr>
        <w:t xml:space="preserve">□Yes </w:t>
      </w:r>
      <w:r>
        <w:rPr>
          <w:rFonts w:ascii="Wingdings 2" w:hAnsi="Wingdings 2"/>
          <w:spacing w:val="-26"/>
        </w:rPr>
        <w:t xml:space="preserve">☑</w:t>
      </w:r>
      <w:r>
        <w:rPr>
          <w:spacing w:val="-26"/>
        </w:rPr>
        <w:t xml:space="preserve">No</w:t>
      </w:r>
    </w:p>
    <w:p>
      <w:pPr>
        <w:spacing w:before="64" w:line="676" w:lineRule="exact"/>
        <w:ind w:left="140" w:right="5905" w:firstLine="0"/>
        <w:jc w:val="left"/>
        <w:rPr>
          <w:sz w:val="24"/>
        </w:rPr>
      </w:pPr>
      <w:bookmarkStart w:name="4、控股股东或实际控制人变更情况" w:id="6"/>
      <w:bookmarkEnd w:id="6"/>
      <w:r>
        <w:rPr>
          <w:b/>
          <w:sz w:val="24"/>
        </w:rPr>
        <w:t xml:space="preserve">4. Changes in the controlling shareholder or de facto controller</w:t>
      </w:r>
      <w:r>
        <w:rPr>
          <w:sz w:val="24"/>
        </w:rPr>
        <w:t xml:space="preserve">Change in controlling shareholder during the reporting period</w:t>
      </w:r>
    </w:p>
    <w:p>
      <w:pPr>
        <w:pStyle w:val="BodyText"/>
        <w:spacing w:before="89"/>
        <w:ind w:left="140"/>
      </w:pPr>
      <w:r>
        <w:rPr>
          <w:spacing w:val="-18"/>
        </w:rPr>
        <w:t xml:space="preserve">□Applicable </w:t>
      </w:r>
      <w:r>
        <w:rPr>
          <w:rFonts w:ascii="Wingdings 2" w:hAnsi="Wingdings 2"/>
          <w:spacing w:val="-18"/>
        </w:rPr>
        <w:t xml:space="preserve">☑</w:t>
      </w:r>
      <w:r>
        <w:rPr>
          <w:spacing w:val="-18"/>
        </w:rPr>
        <w:t xml:space="preserve">Not Applicable</w:t>
      </w:r>
    </w:p>
    <w:p>
      <w:pPr>
        <w:pStyle w:val="BodyText"/>
        <w:spacing w:before="156" w:line="360" w:lineRule="auto"/>
        <w:ind w:left="140" w:right="6037"/>
      </w:pPr>
      <w:r>
        <w:rPr>
          <w:spacing w:val="-2"/>
        </w:rPr>
        <w:t xml:space="preserve">There was no change in the Company's controlling shareholder during the reporting period. Change in de facto controller during the reporting period</w:t>
      </w:r>
    </w:p>
    <w:p>
      <w:pPr>
        <w:pStyle w:val="BodyText"/>
        <w:ind w:left="140"/>
      </w:pPr>
      <w:r>
        <w:rPr>
          <w:spacing w:val="-18"/>
        </w:rPr>
        <w:t xml:space="preserve">□Applicable </w:t>
      </w:r>
      <w:r>
        <w:rPr>
          <w:rFonts w:ascii="Wingdings 2" w:hAnsi="Wingdings 2"/>
          <w:spacing w:val="-18"/>
        </w:rPr>
        <w:t xml:space="preserve">☑</w:t>
      </w:r>
      <w:r>
        <w:rPr>
          <w:spacing w:val="-18"/>
        </w:rPr>
        <w:t xml:space="preserve">Not Applicable</w:t>
      </w:r>
    </w:p>
    <w:p>
      <w:pPr>
        <w:pStyle w:val="BodyText"/>
        <w:spacing w:before="156"/>
        <w:ind w:left="140"/>
      </w:pPr>
      <w:r>
        <w:rPr>
          <w:spacing w:val="-1"/>
        </w:rPr>
        <w:t xml:space="preserve">There was no change in the Company's de facto controller during the reporting period.</w:t>
      </w:r>
    </w:p>
    <w:p>
      <w:pPr>
        <w:pStyle w:val="BodyText"/>
        <w:spacing w:before="48"/>
      </w:pPr>
    </w:p>
    <w:p>
      <w:pPr>
        <w:spacing w:before="0" w:line="520" w:lineRule="auto"/>
        <w:ind w:left="140" w:right="3613" w:firstLine="0"/>
        <w:jc w:val="left"/>
        <w:rPr>
          <w:sz w:val="24"/>
        </w:rPr>
      </w:pPr>
      <w:bookmarkStart w:name="5、公司优先股股东总数及前10名优先股股东持股情况表" w:id="7"/>
      <w:bookmarkEnd w:id="7"/>
      <w:r>
        <w:rPr>
          <w:b/>
          <w:sz w:val="24"/>
        </w:rPr>
        <w:t xml:space="preserve">5. Total number of holders of preference shares and shareholdings of the top 10 holders of preference shares</w:t>
      </w:r>
      <w:r>
        <w:rPr>
          <w:sz w:val="24"/>
        </w:rPr>
        <w:t xml:space="preserve">The Company had no holders of preference shares during the reporting period.</w:t>
      </w:r>
    </w:p>
    <w:p>
      <w:pPr>
        <w:pStyle w:val="Heading2"/>
        <w:spacing w:line="307" w:lineRule="exact"/>
      </w:pPr>
      <w:bookmarkStart w:name="6、在半年度报告批准报出日存续的债券情况" w:id="8"/>
      <w:bookmarkEnd w:id="8"/>
      <w:r>
        <w:rPr>
          <w:spacing w:val="-3"/>
        </w:rPr>
        <w:t xml:space="preserve">6. Outstanding bonds as at the approval date of the interim report</w:t>
      </w:r>
    </w:p>
    <w:p>
      <w:pPr>
        <w:pStyle w:val="BodyText"/>
        <w:spacing w:before="50"/>
        <w:rPr>
          <w:b/>
        </w:rPr>
      </w:pPr>
    </w:p>
    <w:p>
      <w:pPr>
        <w:pStyle w:val="BodyText"/>
        <w:ind w:left="140"/>
      </w:pPr>
      <w:r>
        <w:rPr>
          <w:spacing w:val="-18"/>
        </w:rPr>
        <w:t xml:space="preserve">□Applicable </w:t>
      </w:r>
      <w:r>
        <w:rPr>
          <w:rFonts w:ascii="Wingdings 2" w:hAnsi="Wingdings 2"/>
          <w:spacing w:val="-18"/>
        </w:rPr>
        <w:t xml:space="preserve">☑</w:t>
      </w:r>
      <w:r>
        <w:rPr>
          <w:spacing w:val="-18"/>
        </w:rPr>
        <w:t xml:space="preserve">Not Applicable</w:t>
      </w:r>
    </w:p>
    <w:p>
      <w:pPr>
        <w:pStyle w:val="BodyText"/>
        <w:spacing w:before="82"/>
      </w:pPr>
    </w:p>
    <w:p>
      <w:pPr>
        <w:spacing w:before="0" w:line="475" w:lineRule="auto"/>
        <w:ind w:left="140" w:right="8192" w:firstLine="0"/>
        <w:jc w:val="left"/>
        <w:rPr>
          <w:b/>
          <w:sz w:val="24"/>
        </w:rPr>
      </w:pPr>
      <w:bookmarkStart w:name="三、重要事项" w:id="9"/>
      <w:bookmarkEnd w:id="9"/>
      <w:bookmarkStart w:name="无" w:id="10"/>
      <w:bookmarkEnd w:id="10"/>
      <w:r>
        <w:rPr>
          <w:b/>
          <w:sz w:val="24"/>
        </w:rPr>
        <w:t xml:space="preserve">III. Significant Matters – None</w:t>
      </w:r>
    </w:p>
    <w:sectPr>
      <w:pgSz w:w="11910" w:h="16840"/>
      <w:pgMar w:top="1400" w:right="1133" w:bottom="1180" w:left="992" w:header="878" w:footer="999"/>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SimSun">
    <w:altName w:val="SimSun"/>
    <w:charset w:val="0"/>
    <w:family w:val="auto"/>
    <w:pitch w:val="variable"/>
  </w:font>
  <w:font w:name="Wingdings 2">
    <w:altName w:val="Wingdings 2"/>
    <w:charset w:val="0"/>
    <w:family w:val="auto"/>
    <w:pitch w:val="default"/>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xml:space="preserve" ve:Ignorable="w14">
  <w:p>
    <w:pPr>
      <w:pStyle w:val="BodyText"/>
      <w:spacing w:line="14" w:lineRule="auto"/>
      <w:rPr>
        <w:sz w:val="20"/>
      </w:rPr>
    </w:pPr>
    <w:r>
      <w:rPr>
        <w:sz w:val="20"/>
      </w:rPr>
      <ve:AlternateContent>
        <ve:Choice Requires="wps">
          <w:drawing>
            <wp:anchor distT="0" distB="0" distL="0" distR="0" simplePos="0" relativeHeight="487269376" behindDoc="1" locked="0" layoutInCell="1" allowOverlap="1">
              <wp:simplePos x="0" y="0"/>
              <wp:positionH relativeFrom="page">
                <wp:posOffset>6743700</wp:posOffset>
              </wp:positionH>
              <wp:positionV relativeFrom="page">
                <wp:posOffset>9919139</wp:posOffset>
              </wp:positionV>
              <wp:extent cx="146050" cy="139700"/>
              <wp:effectExtent l="0" t="0" r="0" b="0"/>
              <wp:wrapNone/>
              <wp:docPr id="3" name="Textbox 3"/>
              <wp:cNvGraphicFramePr>
                <a:graphicFrameLocks/>
              </wp:cNvGraphicFramePr>
              <a:graphic>
                <a:graphicData uri="http://schemas.microsoft.com/office/word/2010/wordprocessingShape">
                  <wps:wsp>
                    <wps:cNvPr id="3" name="Textbox 3"/>
                    <wps:cNvSpPr txBox="1"/>
                    <wps:spPr>
                      <a:xfrm>
                        <a:off x="0" y="0"/>
                        <a:ext cx="146050" cy="139700"/>
                      </a:xfrm>
                      <a:prstGeom prst="rect">
                        <a:avLst/>
                      </a:prstGeom>
                    </wps:spPr>
                    <wps:txbx>
                      <w:txbxContent>
                        <w:p>
                          <w:pPr>
                            <w:spacing w:before="0" w:line="220" w:lineRule="exact"/>
                            <w:ind w:left="60" w:right="0" w:firstLine="0"/>
                            <w:jc w:val="left"/>
                            <w:rPr>
                              <w:sz w:val="18"/>
                            </w:rPr>
                          </w:pPr>
                          <w:r>
                            <w:rPr>
                              <w:spacing w:val="-10"/>
                              <w:sz w:val="18"/>
                            </w:rPr>
                            <w:fldChar w:fldCharType="begin"/>
                          </w:r>
                          <w:r>
                            <w:rPr>
                              <w:spacing w:val="-10"/>
                              <w:sz w:val="18"/>
                            </w:rPr>
                            <w:instrText> PAGE </w:instrText>
                          </w:r>
                          <w:r>
                            <w:rPr>
                              <w:spacing w:val="-10"/>
                              <w:sz w:val="18"/>
                            </w:rPr>
                            <w:fldChar w:fldCharType="separate"/>
                          </w:r>
                          <w:r>
                            <w:rPr>
                              <w:spacing w:val="-10"/>
                              <w:sz w:val="18"/>
                            </w:rPr>
                            <w:t>1</w:t>
                          </w:r>
                          <w:r>
                            <w:rPr>
                              <w:spacing w:val="-10"/>
                              <w:sz w:val="18"/>
                            </w:rPr>
                            <w:fldChar w:fldCharType="end"/>
                          </w:r>
                        </w:p>
                      </w:txbxContent>
                    </wps:txbx>
                    <wps:bodyPr wrap="square" lIns="0" tIns="0" rIns="0" bIns="0" rtlCol="0">
                      <a:noAutofit/>
                    </wps:bodyPr>
                  </wps:wsp>
                </a:graphicData>
              </a:graphic>
            </wp:anchor>
          </w:drawing>
        </ve:Choice>
        <ve:Fallback>
          <w:pict>
            <v:shape id="docshape3" style="position:absolute;margin-left:531pt;margin-top:781.034607pt;width:11.5pt;height:11pt;mso-position-horizontal-relative:page;mso-position-vertical-relative:page;z-index:-16047104" filled="false" stroked="false" type="#_x0000_t202">
              <v:textbox inset="0,0,0,0">
                <w:txbxContent>
                  <w:p>
                    <w:pPr>
                      <w:spacing w:before="0" w:line="220" w:lineRule="exact"/>
                      <w:ind w:left="60" w:right="0" w:firstLine="0"/>
                      <w:jc w:val="left"/>
                      <w:rPr>
                        <w:sz w:val="18"/>
                      </w:rPr>
                    </w:pPr>
                    <w:r>
                      <w:rPr>
                        <w:spacing w:val="-10"/>
                        <w:sz w:val="18"/>
                      </w:rPr>
                      <w:fldChar w:fldCharType="begin"/>
                    </w:r>
                    <w:r>
                      <w:rPr>
                        <w:spacing w:val="-10"/>
                        <w:sz w:val="18"/>
                      </w:rPr>
                      <w:instrText> PAGE </w:instrText>
                    </w:r>
                    <w:r>
                      <w:rPr>
                        <w:spacing w:val="-10"/>
                        <w:sz w:val="18"/>
                      </w:rPr>
                      <w:fldChar w:fldCharType="separate"/>
                    </w:r>
                    <w:r>
                      <w:rPr>
                        <w:spacing w:val="-10"/>
                        <w:sz w:val="18"/>
                      </w:rPr>
                      <w:t>1</w:t>
                    </w:r>
                    <w:r>
                      <w:rPr>
                        <w:spacing w:val="-10"/>
                        <w:sz w:val="18"/>
                      </w:rPr>
                      <w:fldChar w:fldCharType="end"/>
                    </w:r>
                  </w:p>
                </w:txbxContent>
              </v:textbox>
              <w10:wrap type="none"/>
            </v:shape>
          </w:pict>
        </ve:Fallback>
      </ve:AlternateContent>
    </w:r>
    <w:r>
      <w:rPr>
        <w:sz w:val="20"/>
      </w:rPr>
      <w:t xml:space="preserve"/>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xml:space="preserve" ve:Ignorable="w14">
  <w:p>
    <w:pPr>
      <w:pStyle w:val="BodyText"/>
      <w:spacing w:line="14" w:lineRule="auto"/>
      <w:rPr>
        <w:sz w:val="20"/>
      </w:rPr>
    </w:pPr>
    <w:r>
      <w:rPr>
        <w:sz w:val="20"/>
      </w:rPr>
      <ve:AlternateContent>
        <ve:Choice Requires="wps">
          <w:drawing>
            <wp:anchor distT="0" distB="0" distL="0" distR="0" simplePos="0" relativeHeight="487268352" behindDoc="1" locked="0" layoutInCell="1" allowOverlap="1">
              <wp:simplePos x="0" y="0"/>
              <wp:positionH relativeFrom="page">
                <wp:posOffset>720090</wp:posOffset>
              </wp:positionH>
              <wp:positionV relativeFrom="page">
                <wp:posOffset>700405</wp:posOffset>
              </wp:positionV>
              <wp:extent cx="6119495" cy="9525"/>
              <wp:effectExtent l="0" t="0" r="0" b="0"/>
              <wp:wrapNone/>
              <wp:docPr id="1" name="Graphic 1"/>
              <wp:cNvGraphicFramePr>
                <a:graphicFrameLocks/>
              </wp:cNvGraphicFramePr>
              <a:graphic>
                <a:graphicData uri="http://schemas.microsoft.com/office/word/2010/wordprocessingShape">
                  <wps:wsp>
                    <wps:cNvPr id="1" name="Graphic 1"/>
                    <wps:cNvSpPr/>
                    <wps:spPr>
                      <a:xfrm>
                        <a:off x="0" y="0"/>
                        <a:ext cx="6119495" cy="9525"/>
                      </a:xfrm>
                      <a:custGeom>
                        <a:avLst/>
                        <a:gdLst/>
                        <a:ahLst/>
                        <a:cxnLst/>
                        <a:rect l="l" t="t" r="r" b="b"/>
                        <a:pathLst>
                          <a:path w="6119495" h="9525">
                            <a:moveTo>
                              <a:pt x="6119495" y="9144"/>
                            </a:moveTo>
                            <a:lnTo>
                              <a:pt x="0" y="9144"/>
                            </a:lnTo>
                            <a:lnTo>
                              <a:pt x="0" y="0"/>
                            </a:lnTo>
                            <a:lnTo>
                              <a:pt x="6119495" y="0"/>
                            </a:lnTo>
                            <a:lnTo>
                              <a:pt x="6119495" y="9144"/>
                            </a:lnTo>
                            <a:close/>
                          </a:path>
                        </a:pathLst>
                      </a:custGeom>
                      <a:solidFill>
                        <a:srgbClr val="000000"/>
                      </a:solidFill>
                    </wps:spPr>
                    <wps:bodyPr wrap="square" lIns="0" tIns="0" rIns="0" bIns="0" rtlCol="0">
                      <a:prstTxWarp prst="textNoShape">
                        <a:avLst/>
                      </a:prstTxWarp>
                      <a:noAutofit/>
                    </wps:bodyPr>
                  </wps:wsp>
                </a:graphicData>
              </a:graphic>
            </wp:anchor>
          </w:drawing>
        </ve:Choice>
        <ve:Fallback>
          <w:pict>
            <v:rect id="docshape1" style="position:absolute;margin-left:56.700001pt;margin-top:55.150002pt;width:481.85pt;height:.72pt;mso-position-horizontal-relative:page;mso-position-vertical-relative:page;z-index:-16048128" filled="true" fillcolor="#000000" stroked="false">
              <v:fill type="solid"/>
              <w10:wrap type="none"/>
            </v:rect>
          </w:pict>
        </ve:Fallback>
      </ve:AlternateContent>
    </w:r>
    <w:r>
      <w:rPr>
        <w:sz w:val="20"/>
      </w:rPr>
      <ve:AlternateContent>
        <ve:Choice Requires="wps">
          <w:drawing>
            <wp:anchor distT="0" distB="0" distL="0" distR="0" simplePos="0" relativeHeight="487268864" behindDoc="1" locked="0" layoutInCell="1" allowOverlap="1">
              <wp:simplePos x="0" y="0"/>
              <wp:positionH relativeFrom="page">
                <wp:posOffset>4254500</wp:posOffset>
              </wp:positionH>
              <wp:positionV relativeFrom="page">
                <wp:posOffset>545028</wp:posOffset>
              </wp:positionV>
              <wp:extent cx="2598420" cy="139700"/>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2598420" cy="139700"/>
                      </a:xfrm>
                      <a:prstGeom prst="rect">
                        <a:avLst/>
                      </a:prstGeom>
                    </wps:spPr>
                    <wps:txbx>
                      <w:txbxContent>
                        <w:p>
                          <w:pPr>
                            <w:spacing w:before="0" w:line="220" w:lineRule="exact"/>
                            <w:ind w:left="20" w:right="0" w:firstLine="0"/>
                            <w:jc w:val="left"/>
                            <w:rPr>
                              <w:sz w:val="18"/>
                            </w:rPr>
                          </w:pPr>
                          <w:r>
                            <w:rPr>
                              <w:sz w:val="18"/>
                            </w:rPr>
                            <w:t xml:space="preserve">Ziel Home Technology Co., Ltd. 2026 Interim Report Summary</w:t>
                          </w:r>
                        </w:p>
                      </w:txbxContent>
                    </wps:txbx>
                    <wps:bodyPr wrap="square" lIns="0" tIns="0" rIns="0" bIns="0" rtlCol="0">
                      <a:noAutofit/>
                    </wps:bodyPr>
                  </wps:wsp>
                </a:graphicData>
              </a:graphic>
            </wp:anchor>
          </w:drawing>
        </ve:Choice>
        <ve:Fallback>
          <w:pict>
            <v:shapetype id="_x0000_t202" coordsize="21600,21600" o:spt="202" path="m,l,21600r21600,l21600,xe">
              <v:stroke joinstyle="miter"/>
              <v:path gradientshapeok="t" o:connecttype="rect"/>
            </v:shapetype>
            <v:shape id="docshape2" style="position:absolute;margin-left:335pt;margin-top:42.915627pt;width:204.6pt;height:11pt;mso-position-horizontal-relative:page;mso-position-vertical-relative:page;z-index:-16047616" filled="false" stroked="false" type="#_x0000_t202">
              <v:textbox inset="0,0,0,0">
                <w:txbxContent>
                  <w:p>
                    <w:pPr>
                      <w:spacing w:before="0" w:line="220" w:lineRule="exact"/>
                      <w:ind w:left="20" w:right="0" w:firstLine="0"/>
                      <w:jc w:val="left"/>
                      <w:rPr>
                        <w:sz w:val="18"/>
                      </w:rPr>
                    </w:pPr>
                    <w:r>
                      <w:rPr>
                        <w:sz w:val="18"/>
                      </w:rPr>
                      <w:t xml:space="preserve">Ziel Home Technology Co., Ltd. 2026 Interim Report Summary</w:t>
                    </w:r>
                  </w:p>
                </w:txbxContent>
              </v:textbox>
              <w10:wrap type="none"/>
            </v:shape>
          </w:pict>
        </ve:Fallback>
      </ve:AlternateContent>
    </w:r>
    <w:r>
      <w:rPr>
        <w:sz w:val="20"/>
      </w:rPr>
      <w:t xml:space="preserve"/>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SimSun" w:hAnsi="SimSun" w:eastAsia="SimSun" w:cs="SimSun"/>
      <w:lang w:val="en-US" w:eastAsia="zh-CN" w:bidi="ar-SA"/>
    </w:rPr>
  </w:style>
  <w:style w:styleId="BodyText" w:type="paragraph">
    <w:name w:val="Body Text"/>
    <w:basedOn w:val="Normal"/>
    <w:uiPriority w:val="1"/>
    <w:qFormat/>
    <w:pPr/>
    <w:rPr>
      <w:rFonts w:ascii="SimSun" w:hAnsi="SimSun" w:eastAsia="SimSun" w:cs="SimSun"/>
      <w:sz w:val="24"/>
      <w:szCs w:val="24"/>
      <w:lang w:val="en-US" w:eastAsia="zh-CN" w:bidi="ar-SA"/>
    </w:rPr>
  </w:style>
  <w:style w:styleId="Heading1" w:type="paragraph">
    <w:name w:val="Heading 1"/>
    <w:basedOn w:val="Normal"/>
    <w:uiPriority w:val="1"/>
    <w:qFormat/>
    <w:pPr>
      <w:ind w:left="2382" w:right="2427"/>
      <w:jc w:val="center"/>
      <w:outlineLvl w:val="1"/>
    </w:pPr>
    <w:rPr>
      <w:rFonts w:ascii="SimSun" w:hAnsi="SimSun" w:eastAsia="SimSun" w:cs="SimSun"/>
      <w:b/>
      <w:bCs/>
      <w:sz w:val="36"/>
      <w:szCs w:val="36"/>
      <w:lang w:val="en-US" w:eastAsia="zh-CN" w:bidi="ar-SA"/>
    </w:rPr>
  </w:style>
  <w:style w:styleId="Heading2" w:type="paragraph">
    <w:name w:val="Heading 2"/>
    <w:basedOn w:val="Normal"/>
    <w:uiPriority w:val="1"/>
    <w:qFormat/>
    <w:pPr>
      <w:ind w:left="140"/>
      <w:outlineLvl w:val="2"/>
    </w:pPr>
    <w:rPr>
      <w:rFonts w:ascii="SimSun" w:hAnsi="SimSun" w:eastAsia="SimSun" w:cs="SimSun"/>
      <w:b/>
      <w:bCs/>
      <w:sz w:val="24"/>
      <w:szCs w:val="24"/>
      <w:lang w:val="en-US" w:eastAsia="zh-CN" w:bidi="ar-SA"/>
    </w:rPr>
  </w:style>
  <w:style w:styleId="ListParagraph" w:type="paragraph">
    <w:name w:val="List Paragraph"/>
    <w:basedOn w:val="Normal"/>
    <w:uiPriority w:val="1"/>
    <w:qFormat/>
    <w:pPr/>
    <w:rPr>
      <w:lang w:val="en-US" w:eastAsia="zh-CN" w:bidi="ar-SA"/>
    </w:rPr>
  </w:style>
  <w:style w:styleId="TableParagraph" w:type="paragraph">
    <w:name w:val="Table Paragraph"/>
    <w:basedOn w:val="Normal"/>
    <w:uiPriority w:val="1"/>
    <w:qFormat/>
    <w:pPr/>
    <w:rPr>
      <w:rFonts w:ascii="SimSun" w:hAnsi="SimSun" w:eastAsia="SimSun" w:cs="SimSun"/>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hyperlink" Target="mailto:IR@ziel.c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Company/>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thinkpad</dc:creator>
  <dc:description/>
  <dcterms:created xsi:type="dcterms:W3CDTF">2026-10-11T01:51:22Z</dcterms:created>
  <dcterms:modified xsi:type="dcterms:W3CDTF">2026-10-11T01:51:22Z</dcterms:modified>
</cp:coreProperties>
</file>

<file path=docProps/custom.xml><?xml version="1.0" encoding="utf-8"?>
<Properties xmlns="http://schemas.openxmlformats.org/officeDocument/2006/custom-properties" xmlns:vt="http://schemas.openxmlformats.org/officeDocument/2006/docPropsVTypes"/>
</file>