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2.0 -->
  <w:body>
    <w:p>
      <w:pPr>
        <w:rPr>
          <w:b/>
          <w:color w:val="FF0000"/>
        </w:rPr>
      </w:pPr>
    </w:p>
    <w:p>
      <w:pPr>
        <w:jc w:val="center"/>
        <w:rPr>
          <w:b/>
          <w:color w:val="FF0000"/>
        </w:rPr>
      </w:pPr>
    </w:p>
    <w:p>
      <w:pPr>
        <w:jc w:val="center"/>
      </w:pPr>
      <w:r>
        <w:t xml:space="preserve">Dated </w:t>
      </w:r>
      <w:r>
        <w:rPr>
          <w:u w:val="single"/>
        </w:rPr>
        <w:t>12 October 2026</w:t>
      </w:r>
    </w:p>
    <w:p>
      <w:pPr>
        <w:jc w:val="center"/>
      </w:pPr>
    </w:p>
    <w:p>
      <w:pPr>
        <w:jc w:val="center"/>
      </w:pPr>
    </w:p>
    <w:p>
      <w:pPr>
        <w:jc w:val="center"/>
      </w:pPr>
    </w:p>
    <w:p>
      <w:pPr>
        <w:jc w:val="center"/>
      </w:pPr>
    </w:p>
    <w:p>
      <w:pPr>
        <w:jc w:val="center"/>
      </w:pPr>
    </w:p>
    <w:p>
      <w:pPr>
        <w:jc w:val="center"/>
      </w:pPr>
    </w:p>
    <w:p>
      <w:pPr>
        <w:jc w:val="center"/>
      </w:pPr>
      <w:r>
        <w:t xml:space="preserve">(1) </w:t>
      </w:r>
      <w:r>
        <w:rPr>
          <w:b/>
        </w:rPr>
        <w:t>The University of Kingsmere</w:t>
      </w:r>
    </w:p>
    <w:p>
      <w:pPr>
        <w:jc w:val="center"/>
        <w:rPr>
          <w:b/>
        </w:rPr>
      </w:pPr>
    </w:p>
    <w:p>
      <w:pPr>
        <w:jc w:val="center"/>
      </w:pPr>
    </w:p>
    <w:p>
      <w:pPr>
        <w:jc w:val="center"/>
      </w:pPr>
    </w:p>
    <w:p>
      <w:pPr>
        <w:jc w:val="center"/>
      </w:pPr>
      <w:r>
        <w:t xml:space="preserve">(2) </w:t>
      </w:r>
      <w:r>
        <w:rPr>
          <w:b/>
        </w:rPr>
        <w:t>Halcyon Photonics Limited</w:t>
      </w:r>
    </w:p>
    <w:p>
      <w:pPr>
        <w:jc w:val="center"/>
      </w:pPr>
    </w:p>
    <w:p/>
    <w:p/>
    <w:p/>
    <w:p/>
    <w:p/>
    <w:p/>
    <w:p/>
    <w:p/>
    <w:p/>
    <w:p>
      <w:pPr>
        <w:jc w:val="center"/>
        <w:rPr>
          <w:b/>
        </w:rPr>
      </w:pPr>
      <w:r>
        <w:rPr>
          <w:b/>
        </w:rPr>
        <w:t>NON-DISCLOSURE AGREEMENT</w:t>
      </w:r>
    </w:p>
    <w:p>
      <w:pPr>
        <w:jc w:val="center"/>
        <w:rPr>
          <w:b/>
        </w:rPr>
      </w:pPr>
    </w:p>
    <w:p>
      <w:pPr>
        <w:rPr>
          <w:b/>
        </w:rPr>
      </w:pPr>
    </w:p>
    <w:p>
      <w:pPr>
        <w:rPr>
          <w:b/>
        </w:rPr>
      </w:pPr>
    </w:p>
    <w:p>
      <w:pPr>
        <w:rPr>
          <w:b/>
        </w:rPr>
      </w:pPr>
      <w:r>
        <w:br w:type="page"/>
      </w:r>
    </w:p>
    <w:p/>
    <w:p/>
    <w:p/>
    <w:p/>
    <w:p/>
    <w:p>
      <w:r>
        <w:rPr>
          <w:b/>
        </w:rPr>
        <w:t>THIS AGREEMENT</w:t>
      </w:r>
      <w:r>
        <w:t xml:space="preserve"> dated 12 October 2026 is made </w:t>
      </w:r>
      <w:r>
        <w:rPr>
          <w:b/>
        </w:rPr>
        <w:t>BETWEEN:</w:t>
      </w:r>
    </w:p>
    <w:p/>
    <w:p>
      <w:pPr>
        <w:ind w:left="720" w:right="0" w:hanging="720"/>
      </w:pPr>
      <w:r>
        <w:rPr>
          <w:b/>
        </w:rPr>
        <w:t>(1)</w:t>
      </w:r>
      <w:r>
        <w:tab/>
      </w:r>
      <w:r>
        <w:rPr>
          <w:b/>
        </w:rPr>
        <w:t>The University of Kingsmere</w:t>
      </w:r>
      <w:r>
        <w:t>, whose administrative offices are at Research &amp; Innovation Services, Albion House, 14 College Road, Kingsmere KM4 2AB, United Kingdom (the University); and</w:t>
      </w:r>
    </w:p>
    <w:p/>
    <w:p>
      <w:pPr>
        <w:numPr>
          <w:ilvl w:val="0"/>
          <w:numId w:val="7"/>
        </w:numPr>
      </w:pPr>
      <w:r>
        <w:rPr>
          <w:b/>
        </w:rPr>
        <w:t xml:space="preserve">Halcyon Photonics </w:t>
      </w:r>
      <w:r>
        <w:rPr>
          <w:b/>
        </w:rPr>
        <w:t>LIMITED</w:t>
      </w:r>
      <w:r>
        <w:t>, a company registered in England and Wales under number 14829376, whose registered office is at Unit 7, Harbourside Innovation Centre, 22 Quay Street, Bristol BS1 4XE, United Kingdom (the Company)</w:t>
      </w:r>
    </w:p>
    <w:p>
      <w:pPr>
        <w:rPr>
          <w:b/>
        </w:rPr>
      </w:pPr>
    </w:p>
    <w:p>
      <w:pPr>
        <w:rPr>
          <w:b/>
        </w:rPr>
      </w:pPr>
      <w:r>
        <w:rPr>
          <w:b/>
        </w:rPr>
        <w:t>BACKGROUND</w:t>
      </w:r>
    </w:p>
    <w:p>
      <w:pPr>
        <w:rPr>
          <w:b/>
        </w:rPr>
      </w:pPr>
    </w:p>
    <w:p>
      <w:r>
        <w:t>The parties wish to discuss a potential collaborative research project on low-loss silicon-nitride photonic waveguides for data-centre optical interconnects (the Proposed Project) and this is likely to involve them disclosing confidential information to each other.</w:t>
      </w:r>
    </w:p>
    <w:p>
      <w:pPr>
        <w:pStyle w:val="Header"/>
        <w:tabs>
          <w:tab w:val="clear" w:pos="4320"/>
          <w:tab w:val="clear" w:pos="8640"/>
        </w:tabs>
      </w:pPr>
    </w:p>
    <w:p>
      <w:pPr>
        <w:numPr>
          <w:ilvl w:val="0"/>
          <w:numId w:val="15"/>
        </w:numPr>
        <w:tabs>
          <w:tab w:val="left" w:pos="720"/>
        </w:tabs>
        <w:ind w:left="720" w:right="0" w:hanging="720"/>
        <w:rPr>
          <w:b/>
        </w:rPr>
      </w:pPr>
      <w:r>
        <w:rPr>
          <w:b/>
        </w:rPr>
        <w:t>DEFINITIONS</w:t>
      </w:r>
    </w:p>
    <w:p>
      <w:pPr>
        <w:pStyle w:val="NormalBoldManches"/>
        <w:rPr>
          <w:b w:val="0"/>
        </w:rPr>
      </w:pPr>
    </w:p>
    <w:p>
      <w:r>
        <w:rPr>
          <w:b/>
        </w:rPr>
        <w:tab/>
      </w:r>
      <w:r>
        <w:t>In this Agreement the following expressions have the meaning set opposite:</w:t>
      </w:r>
    </w:p>
    <w:p/>
    <w:tbl>
      <w:tblPr>
        <w:tblW w:w="8504" w:type="dxa"/>
        <w:jc w:val="left"/>
        <w:tblInd w:w="738" w:type="dxa"/>
        <w:tblLayout w:type="fixed"/>
        <w:tblCellMar>
          <w:top w:w="0" w:type="dxa"/>
          <w:left w:w="108" w:type="dxa"/>
          <w:bottom w:w="0" w:type="dxa"/>
          <w:right w:w="108" w:type="dxa"/>
        </w:tblCellMar>
      </w:tblPr>
      <w:tblGrid>
        <w:gridCol w:w="3330"/>
        <w:gridCol w:w="5174"/>
      </w:tblGrid>
      <w:tr>
        <w:tblPrEx>
          <w:tblW w:w="8504" w:type="dxa"/>
          <w:jc w:val="left"/>
          <w:tblInd w:w="738" w:type="dxa"/>
          <w:tblLayout w:type="fixed"/>
        </w:tblPrEx>
        <w:trPr>
          <w:jc w:val="left"/>
        </w:trPr>
        <w:tc>
          <w:tcPr>
            <w:tcW w:w="3330" w:type="dxa"/>
          </w:tcPr>
          <w:p>
            <w:pPr>
              <w:rPr>
                <w:b/>
              </w:rPr>
            </w:pPr>
            <w:r>
              <w:rPr>
                <w:b/>
              </w:rPr>
              <w:t>this Agreement:</w:t>
            </w:r>
          </w:p>
        </w:tc>
        <w:tc>
          <w:tcPr>
            <w:tcW w:w="5174" w:type="dxa"/>
          </w:tcPr>
          <w:p>
            <w:r>
              <w:t>this document, as amended from time to time in accordance with clause and 5.7;</w:t>
            </w:r>
          </w:p>
          <w:p/>
        </w:tc>
      </w:tr>
      <w:tr>
        <w:tblPrEx>
          <w:tblW w:w="8504" w:type="dxa"/>
          <w:jc w:val="left"/>
          <w:tblInd w:w="738" w:type="dxa"/>
          <w:tblLayout w:type="fixed"/>
        </w:tblPrEx>
        <w:trPr>
          <w:jc w:val="left"/>
        </w:trPr>
        <w:tc>
          <w:tcPr>
            <w:tcW w:w="3330" w:type="dxa"/>
          </w:tcPr>
          <w:p>
            <w:pPr>
              <w:rPr>
                <w:b/>
              </w:rPr>
            </w:pPr>
            <w:r>
              <w:rPr>
                <w:b/>
              </w:rPr>
              <w:t>a Business Day:</w:t>
            </w:r>
          </w:p>
        </w:tc>
        <w:tc>
          <w:tcPr>
            <w:tcW w:w="5174" w:type="dxa"/>
          </w:tcPr>
          <w:p>
            <w:r>
              <w:t xml:space="preserve">Monday to Friday (inclusive) except </w:t>
            </w:r>
            <w:del w:id="0" w:author="DocXee" w:date="2026-10-06T06:24:57Z">
              <w:r>
                <w:delText xml:space="preserve">bank or </w:delText>
              </w:r>
            </w:del>
            <w:r>
              <w:t xml:space="preserve">public holidays in </w:t>
            </w:r>
            <w:del w:id="1" w:author="DocXee" w:date="2026-10-06T06:24:57Z">
              <w:r>
                <w:delText>England and Wales</w:delText>
              </w:r>
            </w:del>
            <w:ins w:id="2" w:author="DocXee" w:date="2026-10-06T06:24:57Z">
              <w:r>
                <w:t>Hong Kong</w:t>
              </w:r>
            </w:ins>
            <w:r>
              <w:t>;</w:t>
            </w:r>
          </w:p>
        </w:tc>
      </w:tr>
      <w:tr>
        <w:tblPrEx>
          <w:tblW w:w="8504" w:type="dxa"/>
          <w:jc w:val="left"/>
          <w:tblInd w:w="738" w:type="dxa"/>
          <w:tblLayout w:type="fixed"/>
        </w:tblPrEx>
        <w:trPr>
          <w:jc w:val="left"/>
        </w:trPr>
        <w:tc>
          <w:tcPr>
            <w:tcW w:w="3330" w:type="dxa"/>
          </w:tcPr>
          <w:p>
            <w:pPr>
              <w:rPr>
                <w:b/>
              </w:rPr>
            </w:pPr>
            <w:r>
              <w:rPr>
                <w:b/>
              </w:rPr>
              <w:t>Confidential Information:</w:t>
            </w:r>
          </w:p>
        </w:tc>
        <w:tc>
          <w:tcPr>
            <w:tcW w:w="5174" w:type="dxa"/>
          </w:tcPr>
          <w:p>
            <w:r>
              <w:t xml:space="preserve">each party's confidential information including any Intellectual Property and Know-how disclosed by that party to the other for the Specified Purpose[and identified as confidential before or at the time of disclosure]; </w:t>
            </w:r>
          </w:p>
          <w:p>
            <w:pPr>
              <w:rPr>
                <w:sz w:val="18"/>
              </w:rPr>
            </w:pPr>
          </w:p>
        </w:tc>
      </w:tr>
      <w:tr>
        <w:tblPrEx>
          <w:tblW w:w="8504" w:type="dxa"/>
          <w:jc w:val="left"/>
          <w:tblInd w:w="738" w:type="dxa"/>
          <w:tblLayout w:type="fixed"/>
        </w:tblPrEx>
        <w:trPr>
          <w:jc w:val="left"/>
        </w:trPr>
        <w:tc>
          <w:tcPr>
            <w:tcW w:w="3330" w:type="dxa"/>
          </w:tcPr>
          <w:p>
            <w:pPr>
              <w:rPr>
                <w:b/>
              </w:rPr>
            </w:pPr>
            <w:r>
              <w:rPr>
                <w:b/>
              </w:rPr>
              <w:t>a Group Company:</w:t>
            </w:r>
          </w:p>
        </w:tc>
        <w:tc>
          <w:tcPr>
            <w:tcW w:w="5174" w:type="dxa"/>
          </w:tcPr>
          <w:p>
            <w:r>
              <w:t>any undertaking which is, on or after the date of this Agreement from time to time, a subsidiary undertaking of the Company, a parent undertaking of the Company or a subsidiary undertaking of a parent undertaking of the Company, as those terms are defined in section 258 of the Companies Act 1985;</w:t>
            </w:r>
          </w:p>
          <w:p>
            <w:pPr>
              <w:pStyle w:val="NormalGSManches"/>
              <w:rPr>
                <w:rFonts w:ascii="Verdana" w:hAnsi="Verdana" w:cs="Verdana"/>
              </w:rPr>
            </w:pPr>
          </w:p>
        </w:tc>
      </w:tr>
      <w:tr>
        <w:tblPrEx>
          <w:tblW w:w="8504" w:type="dxa"/>
          <w:jc w:val="left"/>
          <w:tblInd w:w="738" w:type="dxa"/>
          <w:tblLayout w:type="fixed"/>
        </w:tblPrEx>
        <w:trPr>
          <w:jc w:val="left"/>
        </w:trPr>
        <w:tc>
          <w:tcPr>
            <w:tcW w:w="3330" w:type="dxa"/>
          </w:tcPr>
          <w:p>
            <w:pPr>
              <w:rPr>
                <w:b/>
              </w:rPr>
            </w:pPr>
            <w:r>
              <w:rPr>
                <w:b/>
              </w:rPr>
              <w:t>Intellectual Property:</w:t>
            </w:r>
          </w:p>
        </w:tc>
        <w:tc>
          <w:tcPr>
            <w:tcW w:w="5174" w:type="dxa"/>
          </w:tcPr>
          <w:p>
            <w:r>
              <w:t>patents, trade marks, service marks, registered designs, copyrights, database rights, design rights, confidential information, applications for any of the above, and any  similar right recognised from time to time in any jurisdiction, together with all rights of action in relation to the infringement of any of the above;</w:t>
            </w:r>
          </w:p>
          <w:p/>
        </w:tc>
      </w:tr>
      <w:tr>
        <w:tblPrEx>
          <w:tblW w:w="8504" w:type="dxa"/>
          <w:jc w:val="left"/>
          <w:tblInd w:w="738" w:type="dxa"/>
          <w:tblLayout w:type="fixed"/>
        </w:tblPrEx>
        <w:trPr>
          <w:jc w:val="left"/>
        </w:trPr>
        <w:tc>
          <w:tcPr>
            <w:tcW w:w="3330" w:type="dxa"/>
          </w:tcPr>
          <w:p>
            <w:pPr>
              <w:rPr>
                <w:b/>
              </w:rPr>
            </w:pPr>
            <w:r>
              <w:rPr>
                <w:b/>
              </w:rPr>
              <w:t>Know-how:</w:t>
            </w:r>
          </w:p>
        </w:tc>
        <w:tc>
          <w:tcPr>
            <w:tcW w:w="5174" w:type="dxa"/>
          </w:tcPr>
          <w:p>
            <w:r>
              <w:t>unpatented technical information (including, without limitation information relating to  inventions, discoveries, concepts, methodologies, models, research, development and testing procedures, the results of experiments, tests and trials, manufacturing processes, techniques and specifications, quality control data, analyses, reports and submissions) that is not in the public domain;</w:t>
            </w:r>
          </w:p>
          <w:p/>
        </w:tc>
      </w:tr>
      <w:tr>
        <w:tblPrEx>
          <w:tblW w:w="8504" w:type="dxa"/>
          <w:jc w:val="left"/>
          <w:tblInd w:w="738" w:type="dxa"/>
          <w:tblLayout w:type="fixed"/>
        </w:tblPrEx>
        <w:trPr>
          <w:jc w:val="left"/>
        </w:trPr>
        <w:tc>
          <w:tcPr>
            <w:tcW w:w="3330" w:type="dxa"/>
          </w:tcPr>
          <w:p>
            <w:pPr>
              <w:rPr>
                <w:b/>
              </w:rPr>
            </w:pPr>
            <w:r>
              <w:rPr>
                <w:b/>
              </w:rPr>
              <w:t>the Proposed Project:</w:t>
            </w:r>
          </w:p>
        </w:tc>
        <w:tc>
          <w:tcPr>
            <w:tcW w:w="5174" w:type="dxa"/>
          </w:tcPr>
          <w:p>
            <w:r>
              <w:rPr>
                <w:i/>
              </w:rPr>
              <w:t>a two-year collaborative research project on low-loss silicon-nitride photonic waveguides for data-centre optical interconnects; and</w:t>
            </w:r>
          </w:p>
        </w:tc>
      </w:tr>
      <w:tr>
        <w:tblPrEx>
          <w:tblW w:w="8504" w:type="dxa"/>
          <w:jc w:val="left"/>
          <w:tblInd w:w="738" w:type="dxa"/>
          <w:tblLayout w:type="fixed"/>
        </w:tblPrEx>
        <w:trPr>
          <w:jc w:val="left"/>
        </w:trPr>
        <w:tc>
          <w:tcPr>
            <w:tcW w:w="3330" w:type="dxa"/>
          </w:tcPr>
          <w:p>
            <w:pPr>
              <w:rPr>
                <w:b/>
              </w:rPr>
            </w:pPr>
            <w:r>
              <w:rPr>
                <w:b/>
              </w:rPr>
              <w:t>the Specified Purpose:</w:t>
            </w:r>
          </w:p>
        </w:tc>
        <w:tc>
          <w:tcPr>
            <w:tcW w:w="5174" w:type="dxa"/>
          </w:tcPr>
          <w:p>
            <w:r>
              <w:t xml:space="preserve">discussing whether to collaborate with the other party in the Proposed Project, the preparation of any outline specification, proposal or workplan for the Proposed Project, and the submission of any application for funding for the Proposed Project. </w:t>
            </w:r>
          </w:p>
        </w:tc>
      </w:tr>
    </w:tbl>
    <w:p/>
    <w:p>
      <w:r>
        <w:t>2.</w:t>
        <w:tab/>
      </w:r>
      <w:r>
        <w:rPr>
          <w:b/>
        </w:rPr>
        <w:t>CONFIDENTIALITY</w:t>
      </w:r>
    </w:p>
    <w:p>
      <w:pPr>
        <w:rPr>
          <w:b/>
        </w:rPr>
      </w:pPr>
    </w:p>
    <w:p>
      <w:pPr>
        <w:pStyle w:val="Para1"/>
        <w:numPr>
          <w:ilvl w:val="0"/>
          <w:numId w:val="0"/>
        </w:numPr>
        <w:spacing w:before="0" w:after="0"/>
        <w:ind w:left="720" w:right="0" w:hanging="720"/>
      </w:pPr>
      <w:r>
        <w:t>2.1</w:t>
      </w:r>
      <w:r>
        <w:tab/>
      </w:r>
      <w:r>
        <w:t>Neither party will, before the expiry of 5 years after its receipt of any of the other party’s Confidential Information, disclose to any third party, nor use for any purpose except the Specified Purpose, any of the other party's Confidential Information.</w:t>
      </w:r>
    </w:p>
    <w:p/>
    <w:p>
      <w:pPr>
        <w:pStyle w:val="Para1"/>
        <w:numPr>
          <w:ilvl w:val="0"/>
          <w:numId w:val="0"/>
        </w:numPr>
        <w:spacing w:before="0" w:after="0"/>
        <w:ind w:left="720" w:right="0" w:hanging="720"/>
      </w:pPr>
      <w:r>
        <w:t>2.2</w:t>
        <w:tab/>
        <w:t>Neither party will be in breach of any obligation to keep any information confidential or not to disclose it to any other party to the extent that it:</w:t>
      </w:r>
    </w:p>
    <w:p/>
    <w:p>
      <w:pPr>
        <w:pStyle w:val="para2"/>
        <w:numPr>
          <w:ilvl w:val="0"/>
          <w:numId w:val="0"/>
        </w:numPr>
        <w:ind w:left="1440" w:right="0" w:hanging="720"/>
      </w:pPr>
      <w:r>
        <w:t>2.2.1</w:t>
        <w:tab/>
        <w:t>is known to the party making the disclosure before its receipt from the other party, and not already subject to any obligation of confidentiality to the other party;</w:t>
      </w:r>
    </w:p>
    <w:p>
      <w:pPr>
        <w:ind w:left="1440" w:right="0" w:hanging="720"/>
      </w:pPr>
    </w:p>
    <w:p>
      <w:pPr>
        <w:pStyle w:val="para2"/>
        <w:numPr>
          <w:ilvl w:val="0"/>
          <w:numId w:val="0"/>
        </w:numPr>
        <w:ind w:left="1440" w:right="0" w:hanging="720"/>
      </w:pPr>
      <w:r>
        <w:t>2.2.2</w:t>
        <w:tab/>
        <w:t>is or becomes publicly known without any breach of this Agreement or any other undertaking to keep it confidential;</w:t>
      </w:r>
    </w:p>
    <w:p/>
    <w:p>
      <w:pPr>
        <w:pStyle w:val="para2"/>
        <w:numPr>
          <w:ilvl w:val="0"/>
          <w:numId w:val="0"/>
        </w:numPr>
        <w:ind w:left="1440" w:right="0" w:hanging="720"/>
      </w:pPr>
      <w:r>
        <w:t>2.2.3</w:t>
        <w:tab/>
        <w:t>has been obtained by the party making the disclosure from a third party in circumstances where the party making the disclosure has no reason to believe that there has been a breach of an obligation of confidentiality owed to the other party;</w:t>
      </w:r>
    </w:p>
    <w:p/>
    <w:p>
      <w:pPr>
        <w:ind w:left="1440" w:right="0" w:hanging="720"/>
      </w:pPr>
      <w:r>
        <w:t>2.2.4</w:t>
        <w:tab/>
        <w:t>has been independently developed by the party making the disclosure;</w:t>
      </w:r>
    </w:p>
    <w:p>
      <w:pPr>
        <w:ind w:left="1440" w:right="0" w:hanging="720"/>
      </w:pPr>
    </w:p>
    <w:p>
      <w:pPr>
        <w:ind w:left="1440" w:right="0" w:hanging="720"/>
      </w:pPr>
      <w:r>
        <w:t>2.2.5</w:t>
        <w:tab/>
        <w:t>is disclosed pursuant to the requirement of any law or regulation (provided, in the case of a disclosure under the Freedom of Information Act 2000, none of the exceptions to that Act applies to the information disclosed) or the order of any Court of competent jurisdiction, and the party required to make that disclosure has informed the other, within a reasonable time after being required to make the disclosure, of the requirement to disclose and the information required to be disclosed; or</w:t>
      </w:r>
    </w:p>
    <w:p>
      <w:pPr>
        <w:ind w:left="1440" w:right="0" w:hanging="720"/>
      </w:pPr>
    </w:p>
    <w:p>
      <w:pPr>
        <w:pStyle w:val="para2"/>
        <w:numPr>
          <w:ilvl w:val="2"/>
          <w:numId w:val="6"/>
        </w:numPr>
      </w:pPr>
      <w:r>
        <w:t>is approved for release in writing by an authorised representative of the other party.</w:t>
      </w:r>
    </w:p>
    <w:p>
      <w:pPr>
        <w:pStyle w:val="para2"/>
        <w:numPr>
          <w:ilvl w:val="0"/>
          <w:numId w:val="0"/>
        </w:numPr>
        <w:ind w:left="720" w:right="0" w:firstLine="0"/>
      </w:pPr>
    </w:p>
    <w:p>
      <w:pPr>
        <w:pStyle w:val="para2"/>
        <w:numPr>
          <w:ilvl w:val="0"/>
          <w:numId w:val="0"/>
        </w:numPr>
        <w:ind w:left="720" w:right="0" w:hanging="720"/>
      </w:pPr>
      <w:r>
        <w:t>2.3</w:t>
      </w:r>
      <w:r>
        <w:tab/>
      </w:r>
      <w:r>
        <w:t>The Company will not be in breach of any obligation to keep any of the University's information confidential or not to disclose it to any third party by making it available to any Group Company, or any person working for or on behalf of the Company or a Group Company, who needs to know the same for the Specified Purpose, provided it is not used except for that purpose and the recipient undertakes to keep that information confidential.</w:t>
      </w:r>
    </w:p>
    <w:p>
      <w:pPr>
        <w:pStyle w:val="para2"/>
        <w:numPr>
          <w:numId w:val="0"/>
        </w:numPr>
        <w:ind w:left="720" w:right="0" w:hanging="720"/>
      </w:pPr>
      <w:r>
        <w:t>The Company may also disclose the University's Confidential Information to its professional advisers and to potential investors, in each case only under equivalent confidentiality obligations or on a confidential basis.</w:t>
      </w:r>
    </w:p>
    <w:p>
      <w:pPr>
        <w:pStyle w:val="Para1"/>
        <w:numPr>
          <w:ilvl w:val="0"/>
          <w:numId w:val="0"/>
        </w:numPr>
        <w:spacing w:before="0" w:after="0"/>
        <w:ind w:left="720" w:right="0" w:hanging="720"/>
      </w:pPr>
    </w:p>
    <w:p>
      <w:pPr>
        <w:pStyle w:val="Para1"/>
        <w:numPr>
          <w:ilvl w:val="1"/>
          <w:numId w:val="14"/>
        </w:numPr>
        <w:tabs>
          <w:tab w:val="left" w:pos="720"/>
        </w:tabs>
        <w:spacing w:before="0" w:after="0"/>
        <w:ind w:left="720" w:right="0" w:hanging="630"/>
      </w:pPr>
      <w:r>
        <w:t>If the University receives a request under the Freedom of Information Act 2000 to disclose any information that, under this Agreement, is the Company’s Confidential Information, it will notify the Company and will consult with the Company. The Company will respond to the University within 5 Business Days after receiving the University’s notice if that notice requests the Company to provide information to assist the University to determine whether or not an exemption to the Freedom of Information Act applies to the information requested under that Act.</w:t>
      </w:r>
    </w:p>
    <w:p>
      <w:pPr>
        <w:pStyle w:val="Para1"/>
        <w:numPr>
          <w:ilvl w:val="0"/>
          <w:numId w:val="0"/>
        </w:numPr>
        <w:spacing w:before="0" w:after="0"/>
        <w:ind w:left="360" w:right="0" w:firstLine="0"/>
      </w:pPr>
    </w:p>
    <w:p>
      <w:pPr>
        <w:pStyle w:val="Para1"/>
        <w:numPr>
          <w:ilvl w:val="0"/>
          <w:numId w:val="4"/>
        </w:numPr>
        <w:tabs>
          <w:tab w:val="left" w:pos="720"/>
        </w:tabs>
        <w:spacing w:before="0" w:after="0"/>
        <w:ind w:left="720" w:right="0" w:hanging="720"/>
        <w:rPr>
          <w:b/>
        </w:rPr>
      </w:pPr>
      <w:r>
        <w:rPr>
          <w:b/>
        </w:rPr>
        <w:t>INTELLECTUAL PROPERTY</w:t>
      </w:r>
    </w:p>
    <w:p>
      <w:pPr>
        <w:pStyle w:val="Para1"/>
        <w:numPr>
          <w:ilvl w:val="0"/>
          <w:numId w:val="0"/>
        </w:numPr>
        <w:spacing w:before="0" w:after="0"/>
        <w:ind w:left="0" w:firstLine="0"/>
        <w:rPr>
          <w:b/>
        </w:rPr>
      </w:pPr>
    </w:p>
    <w:p>
      <w:pPr>
        <w:pStyle w:val="Para1"/>
        <w:numPr>
          <w:ilvl w:val="0"/>
          <w:numId w:val="0"/>
        </w:numPr>
        <w:spacing w:before="0" w:after="0"/>
        <w:ind w:left="720" w:right="0" w:hanging="720"/>
      </w:pPr>
      <w:r>
        <w:t>3.1</w:t>
        <w:tab/>
        <w:t>Nothing in this Agreement grants any licence or right, beyond that required for the Specified Purpose, under any patent, copyright, trade secret or other Intellectual Property.</w:t>
      </w:r>
    </w:p>
    <w:p/>
    <w:p>
      <w:pPr>
        <w:pStyle w:val="Para1"/>
        <w:numPr>
          <w:ilvl w:val="1"/>
          <w:numId w:val="4"/>
        </w:numPr>
        <w:spacing w:before="0" w:after="0"/>
      </w:pPr>
      <w:r>
        <w:t xml:space="preserve">Neither party will remove any proprietary, copyright, trade secret, confidentiality or other notice from any of the other’s Confidential Information. </w:t>
      </w:r>
    </w:p>
    <w:p/>
    <w:p>
      <w:pPr>
        <w:numPr>
          <w:ilvl w:val="0"/>
          <w:numId w:val="4"/>
        </w:numPr>
        <w:tabs>
          <w:tab w:val="left" w:pos="720"/>
        </w:tabs>
        <w:ind w:left="810" w:right="0" w:hanging="810"/>
        <w:rPr>
          <w:b/>
        </w:rPr>
      </w:pPr>
      <w:r>
        <w:rPr>
          <w:b/>
        </w:rPr>
        <w:t>TERM</w:t>
      </w:r>
    </w:p>
    <w:p>
      <w:pPr>
        <w:rPr>
          <w:b/>
        </w:rPr>
      </w:pPr>
    </w:p>
    <w:p>
      <w:pPr>
        <w:pStyle w:val="Para1"/>
        <w:numPr>
          <w:ilvl w:val="1"/>
          <w:numId w:val="10"/>
        </w:numPr>
        <w:spacing w:before="0" w:after="0"/>
      </w:pPr>
      <w:r>
        <w:t>This Agreement will continue indefinitely despite the conclusion of the discussions between the parties concerning the Proposed Project.</w:t>
      </w:r>
    </w:p>
    <w:p>
      <w:pPr>
        <w:pStyle w:val="Para1"/>
        <w:numPr>
          <w:ilvl w:val="0"/>
          <w:numId w:val="0"/>
        </w:numPr>
        <w:spacing w:before="0" w:after="0"/>
        <w:ind w:left="0" w:firstLine="0"/>
      </w:pPr>
    </w:p>
    <w:p>
      <w:pPr>
        <w:pStyle w:val="Para1"/>
        <w:numPr>
          <w:ilvl w:val="1"/>
          <w:numId w:val="10"/>
        </w:numPr>
        <w:spacing w:before="0" w:after="0"/>
      </w:pPr>
      <w:r>
        <w:t>To the extent that the terms of this Agreement conflict with any agreement entered into between the parties for carrying out the Proposed Project, the terms of the agreement for the Proposed Project will prevail, but only to the extent necessary to resolve that conflict.</w:t>
      </w:r>
    </w:p>
    <w:p/>
    <w:p>
      <w:pPr>
        <w:pStyle w:val="Para1"/>
        <w:numPr>
          <w:ilvl w:val="0"/>
          <w:numId w:val="0"/>
        </w:numPr>
        <w:spacing w:before="0" w:after="0"/>
        <w:ind w:left="720" w:right="0" w:hanging="720"/>
      </w:pPr>
      <w:r>
        <w:t>4.3</w:t>
      </w:r>
      <w:r>
        <w:tab/>
      </w:r>
      <w:r>
        <w:t>At the conclusion of the discussions about the Proposed Project, unless the parties enter into an agreement for the carrying out of that project, each of the parties will, at the other’s request;</w:t>
      </w:r>
    </w:p>
    <w:p/>
    <w:p>
      <w:pPr>
        <w:pStyle w:val="para2"/>
        <w:numPr>
          <w:ilvl w:val="2"/>
          <w:numId w:val="13"/>
        </w:numPr>
      </w:pPr>
      <w:r>
        <w:t>return or destroy the other’s Confidential Information in its possession, custody or control; and</w:t>
      </w:r>
    </w:p>
    <w:p>
      <w:pPr>
        <w:pStyle w:val="para2"/>
        <w:numPr>
          <w:ilvl w:val="0"/>
          <w:numId w:val="0"/>
        </w:numPr>
        <w:ind w:left="720" w:right="0" w:firstLine="0"/>
      </w:pPr>
    </w:p>
    <w:p>
      <w:pPr>
        <w:pStyle w:val="para2"/>
        <w:numPr>
          <w:ilvl w:val="2"/>
          <w:numId w:val="13"/>
        </w:numPr>
      </w:pPr>
      <w:r>
        <w:t>confirm in writing that the above has been done.</w:t>
      </w:r>
    </w:p>
    <w:p/>
    <w:p>
      <w:pPr>
        <w:ind w:left="720" w:right="0" w:hanging="720"/>
      </w:pPr>
      <w:r>
        <w:t>5.</w:t>
        <w:tab/>
      </w:r>
      <w:r>
        <w:rPr>
          <w:b/>
        </w:rPr>
        <w:t>GENERAL</w:t>
      </w:r>
    </w:p>
    <w:p/>
    <w:p>
      <w:pPr>
        <w:ind w:left="720" w:right="0" w:hanging="720"/>
      </w:pPr>
      <w:r>
        <w:t>5.1</w:t>
      </w:r>
      <w:r>
        <w:rPr>
          <w:i/>
        </w:rPr>
        <w:tab/>
      </w:r>
      <w:r>
        <w:rPr>
          <w:b/>
        </w:rPr>
        <w:t xml:space="preserve">Notices: </w:t>
      </w:r>
      <w:r>
        <w:t xml:space="preserve"> Any notice to be given under this Agreement must be in writing, may be delivered to the other party by any of the methods set out in the left hand column below, and will be deemed to be received on the corresponding day set out in the right hand column:</w:t>
      </w:r>
    </w:p>
    <w:p/>
    <w:tbl>
      <w:tblPr>
        <w:tblW w:w="7694" w:type="dxa"/>
        <w:jc w:val="left"/>
        <w:tblInd w:w="1548" w:type="dxa"/>
        <w:tblLayout w:type="fixed"/>
        <w:tblCellMar>
          <w:top w:w="0" w:type="dxa"/>
          <w:left w:w="108" w:type="dxa"/>
          <w:bottom w:w="0" w:type="dxa"/>
          <w:right w:w="108" w:type="dxa"/>
        </w:tblCellMar>
      </w:tblPr>
      <w:tblGrid>
        <w:gridCol w:w="3073"/>
        <w:gridCol w:w="4621"/>
      </w:tblGrid>
      <w:tr>
        <w:tblPrEx>
          <w:tblW w:w="7694" w:type="dxa"/>
          <w:jc w:val="left"/>
          <w:tblInd w:w="1548" w:type="dxa"/>
          <w:tblLayout w:type="fixed"/>
        </w:tblPrEx>
        <w:trPr>
          <w:jc w:val="left"/>
        </w:trPr>
        <w:tc>
          <w:tcPr>
            <w:tcW w:w="3073" w:type="dxa"/>
          </w:tcPr>
          <w:p>
            <w:pPr>
              <w:rPr>
                <w:b/>
              </w:rPr>
            </w:pPr>
            <w:r>
              <w:rPr>
                <w:b/>
              </w:rPr>
              <w:t xml:space="preserve">Method of service </w:t>
            </w:r>
          </w:p>
          <w:p>
            <w:pPr>
              <w:rPr>
                <w:b/>
              </w:rPr>
            </w:pPr>
          </w:p>
        </w:tc>
        <w:tc>
          <w:tcPr>
            <w:tcW w:w="4621" w:type="dxa"/>
          </w:tcPr>
          <w:p>
            <w:pPr>
              <w:pStyle w:val="NormalBoldManches"/>
            </w:pPr>
            <w:r>
              <w:t>Deemed day of receipt</w:t>
            </w:r>
          </w:p>
        </w:tc>
      </w:tr>
      <w:tr>
        <w:tblPrEx>
          <w:tblW w:w="7694" w:type="dxa"/>
          <w:jc w:val="left"/>
          <w:tblInd w:w="1548" w:type="dxa"/>
          <w:tblLayout w:type="fixed"/>
        </w:tblPrEx>
        <w:trPr>
          <w:jc w:val="left"/>
        </w:trPr>
        <w:tc>
          <w:tcPr>
            <w:tcW w:w="3073" w:type="dxa"/>
          </w:tcPr>
          <w:p>
            <w:r>
              <w:t>By hand or courier</w:t>
            </w:r>
          </w:p>
          <w:p/>
        </w:tc>
        <w:tc>
          <w:tcPr>
            <w:tcW w:w="4621" w:type="dxa"/>
          </w:tcPr>
          <w:p>
            <w:r>
              <w:t>the day of delivery</w:t>
            </w:r>
          </w:p>
        </w:tc>
      </w:tr>
      <w:tr>
        <w:tblPrEx>
          <w:tblW w:w="7694" w:type="dxa"/>
          <w:jc w:val="left"/>
          <w:tblInd w:w="1548" w:type="dxa"/>
          <w:tblLayout w:type="fixed"/>
        </w:tblPrEx>
        <w:trPr>
          <w:jc w:val="left"/>
        </w:trPr>
        <w:tc>
          <w:tcPr>
            <w:tcW w:w="3073" w:type="dxa"/>
          </w:tcPr>
          <w:p>
            <w:r>
              <w:t>By pre-paid first class post</w:t>
            </w:r>
          </w:p>
          <w:p/>
        </w:tc>
        <w:tc>
          <w:tcPr>
            <w:tcW w:w="4621" w:type="dxa"/>
          </w:tcPr>
          <w:p>
            <w:r>
              <w:t>the second Business Day after posting</w:t>
            </w:r>
          </w:p>
        </w:tc>
      </w:tr>
      <w:tr>
        <w:tblPrEx>
          <w:tblW w:w="7694" w:type="dxa"/>
          <w:jc w:val="left"/>
          <w:tblInd w:w="1548" w:type="dxa"/>
          <w:tblLayout w:type="fixed"/>
        </w:tblPrEx>
        <w:trPr>
          <w:jc w:val="left"/>
        </w:trPr>
        <w:tc>
          <w:tcPr>
            <w:tcW w:w="3073" w:type="dxa"/>
          </w:tcPr>
          <w:p>
            <w:r>
              <w:t>By recorded delivery post</w:t>
            </w:r>
          </w:p>
          <w:p/>
        </w:tc>
        <w:tc>
          <w:tcPr>
            <w:tcW w:w="4621" w:type="dxa"/>
          </w:tcPr>
          <w:p>
            <w:r>
              <w:t>the next Business Day after posting</w:t>
            </w:r>
          </w:p>
        </w:tc>
      </w:tr>
      <w:tr>
        <w:tblPrEx>
          <w:tblW w:w="7694" w:type="dxa"/>
          <w:jc w:val="left"/>
          <w:tblInd w:w="1548" w:type="dxa"/>
          <w:tblLayout w:type="fixed"/>
        </w:tblPrEx>
        <w:trPr>
          <w:jc w:val="left"/>
        </w:trPr>
        <w:tc>
          <w:tcPr>
            <w:tcW w:w="3073" w:type="dxa"/>
          </w:tcPr>
          <w:p>
            <w:r>
              <w:t>By fax (provided the sender’s fax machine confirms complete and error-free transmission of that notice to the correct fax number)</w:t>
            </w:r>
          </w:p>
        </w:tc>
        <w:tc>
          <w:tcPr>
            <w:tcW w:w="4621" w:type="dxa"/>
          </w:tcPr>
          <w:p>
            <w:r>
              <w:t>the next Business Day after sending or, if sent before 16.00 (sender’s local time) on the Business Day it was sent</w:t>
            </w:r>
          </w:p>
        </w:tc>
      </w:tr>
    </w:tbl>
    <w:p/>
    <w:p>
      <w:pPr>
        <w:pStyle w:val="BodyTextIndent2"/>
      </w:pPr>
      <w:r>
        <w:t>The parties' respective representatives for the receipt of notices are, until changed by notice given in accordance with this clause, as follows:</w:t>
      </w:r>
    </w:p>
    <w:p/>
    <w:tbl>
      <w:tblPr>
        <w:tblW w:w="7694" w:type="dxa"/>
        <w:jc w:val="left"/>
        <w:tblInd w:w="1548" w:type="dxa"/>
        <w:tblLayout w:type="fixed"/>
        <w:tblCellMar>
          <w:top w:w="0" w:type="dxa"/>
          <w:left w:w="108" w:type="dxa"/>
          <w:bottom w:w="0" w:type="dxa"/>
          <w:right w:w="108" w:type="dxa"/>
        </w:tblCellMar>
      </w:tblPr>
      <w:tblGrid>
        <w:gridCol w:w="3690"/>
        <w:gridCol w:w="4004"/>
      </w:tblGrid>
      <w:tr>
        <w:tblPrEx>
          <w:tblW w:w="7694" w:type="dxa"/>
          <w:jc w:val="left"/>
          <w:tblInd w:w="1548" w:type="dxa"/>
          <w:tblLayout w:type="fixed"/>
        </w:tblPrEx>
        <w:trPr>
          <w:trHeight w:val="346"/>
          <w:jc w:val="left"/>
        </w:trPr>
        <w:tc>
          <w:tcPr>
            <w:tcW w:w="3690" w:type="dxa"/>
          </w:tcPr>
          <w:p>
            <w:pPr>
              <w:rPr>
                <w:b/>
              </w:rPr>
            </w:pPr>
            <w:r>
              <w:rPr>
                <w:b/>
              </w:rPr>
              <w:t>For the University:</w:t>
            </w:r>
          </w:p>
        </w:tc>
        <w:tc>
          <w:tcPr>
            <w:tcW w:w="4004" w:type="dxa"/>
          </w:tcPr>
          <w:p>
            <w:pPr>
              <w:rPr>
                <w:b/>
              </w:rPr>
            </w:pPr>
            <w:r>
              <w:rPr>
                <w:b/>
              </w:rPr>
              <w:t>For the Company:</w:t>
            </w:r>
          </w:p>
        </w:tc>
      </w:tr>
      <w:tr>
        <w:tblPrEx>
          <w:tblW w:w="7694" w:type="dxa"/>
          <w:jc w:val="left"/>
          <w:tblInd w:w="1548" w:type="dxa"/>
          <w:tblLayout w:type="fixed"/>
        </w:tblPrEx>
        <w:trPr>
          <w:jc w:val="left"/>
        </w:trPr>
        <w:tc>
          <w:tcPr>
            <w:tcW w:w="3690" w:type="dxa"/>
          </w:tcPr>
          <w:p>
            <w:r>
              <w:t>Name: Ms Priya Raman, Senior Contracts Manager</w:t>
            </w:r>
          </w:p>
          <w:p>
            <w:r>
              <w:t>Address: Research &amp; Innovation Services, Albion House, 14 College Road, Kingsmere KM4 2AB</w:t>
            </w:r>
          </w:p>
        </w:tc>
        <w:tc>
          <w:tcPr>
            <w:tcW w:w="4004" w:type="dxa"/>
          </w:tcPr>
          <w:p>
            <w:r>
              <w:t>Name: Mr Thomas Hadley, General Counsel, Halcyon Photonics Limited</w:t>
            </w:r>
          </w:p>
          <w:p>
            <w:r>
              <w:t>Address: Unit 7, Harbourside Innovation Centre, 22 Quay Street, Bristol BS1 4XE</w:t>
            </w:r>
          </w:p>
        </w:tc>
      </w:tr>
      <w:tr>
        <w:tblPrEx>
          <w:tblW w:w="7694" w:type="dxa"/>
          <w:jc w:val="left"/>
          <w:tblInd w:w="1548" w:type="dxa"/>
          <w:tblLayout w:type="fixed"/>
        </w:tblPrEx>
        <w:trPr>
          <w:jc w:val="left"/>
        </w:trPr>
        <w:tc>
          <w:tcPr>
            <w:tcW w:w="3690" w:type="dxa"/>
          </w:tcPr>
          <w:p>
            <w:r>
              <w:t>Email: contracts@kingsmere.ac.uk</w:t>
            </w:r>
          </w:p>
        </w:tc>
        <w:tc>
          <w:tcPr>
            <w:tcW w:w="4004" w:type="dxa"/>
          </w:tcPr>
          <w:p>
            <w:r>
              <w:t>Email: legal@halcyonphotonics.co.uk</w:t>
            </w:r>
          </w:p>
        </w:tc>
      </w:tr>
    </w:tbl>
    <w:p/>
    <w:p>
      <w:pPr>
        <w:numPr>
          <w:ilvl w:val="1"/>
          <w:numId w:val="12"/>
        </w:numPr>
      </w:pPr>
      <w:r>
        <w:rPr>
          <w:b/>
        </w:rPr>
        <w:t>Headings:</w:t>
      </w:r>
      <w:r>
        <w:t xml:space="preserve">  The headings in this Agreement are for ease of reference only; they do not affect its construction or interpretation.</w:t>
      </w:r>
    </w:p>
    <w:p>
      <w:pPr>
        <w:rPr>
          <w:b/>
        </w:rPr>
      </w:pPr>
    </w:p>
    <w:p>
      <w:pPr>
        <w:ind w:left="720" w:right="0" w:hanging="720"/>
      </w:pPr>
      <w:r>
        <w:t>5.3</w:t>
      </w:r>
      <w:r>
        <w:rPr>
          <w:b/>
        </w:rPr>
        <w:tab/>
        <w:t>Assignment:</w:t>
      </w:r>
      <w:r>
        <w:t xml:space="preserve">  Neither party may assign or transfer this Agreement as a whole, or any of its rights or obligations under it, without first obtaining the written consent of the other party.  That consent may not be unreasonably withheld or delayed.</w:t>
      </w:r>
    </w:p>
    <w:p/>
    <w:p>
      <w:pPr>
        <w:numPr>
          <w:ilvl w:val="1"/>
          <w:numId w:val="12"/>
        </w:numPr>
      </w:pPr>
      <w:r>
        <w:rPr>
          <w:b/>
        </w:rPr>
        <w:t xml:space="preserve">Illegal/unenforceable provisions: </w:t>
      </w:r>
      <w:r>
        <w:t xml:space="preserve"> If the whole or any part of any provision of this Agreement is void or unenforceable in any jurisdiction, the other provisions of this Agreement, and the rest of the void or unenforceable provision, will continue in force in that jurisdiction, and the validity and enforceability of that provision in any other jurisdiction will not be affected.</w:t>
      </w:r>
    </w:p>
    <w:p/>
    <w:p>
      <w:pPr>
        <w:numPr>
          <w:ilvl w:val="1"/>
          <w:numId w:val="12"/>
        </w:numPr>
      </w:pPr>
      <w:r>
        <w:rPr>
          <w:b/>
        </w:rPr>
        <w:t xml:space="preserve">Waiver of rights: </w:t>
      </w:r>
      <w:r>
        <w:rPr>
          <w:i/>
        </w:rPr>
        <w:t xml:space="preserve"> </w:t>
      </w:r>
      <w:r>
        <w:t>If a party fails to enforce, or delays in enforcing, an obligation of the other party, or fails to exercise, or delays in exercising, a right under this Agreement, that failure or delay will not affect its right to enforce that obligation or constitute a waiver of that right.  Any waiver of any provision of this Agreement will not, unless expressly stated to the contrary, constitute a waiver of that provision on a future occasion.</w:t>
      </w:r>
    </w:p>
    <w:p>
      <w:pPr>
        <w:rPr>
          <w:b/>
        </w:rPr>
      </w:pPr>
    </w:p>
    <w:p>
      <w:pPr>
        <w:numPr>
          <w:ilvl w:val="1"/>
          <w:numId w:val="12"/>
        </w:numPr>
      </w:pPr>
      <w:r>
        <w:rPr>
          <w:b/>
        </w:rPr>
        <w:t>No agency:</w:t>
      </w:r>
      <w:r>
        <w:t xml:space="preserve">  Nothing in this Agreement creates, implies or evidences any partnership or joint venture between the parties, or the relationship between them of principal and agent.  Neither party has any authority to make any representation or commitment, or to incur any liability, on behalf of the other.</w:t>
      </w:r>
    </w:p>
    <w:p>
      <w:pPr>
        <w:rPr>
          <w:b/>
        </w:rPr>
      </w:pPr>
    </w:p>
    <w:p>
      <w:pPr>
        <w:numPr>
          <w:ilvl w:val="1"/>
          <w:numId w:val="12"/>
        </w:numPr>
      </w:pPr>
      <w:r>
        <w:rPr>
          <w:b/>
        </w:rPr>
        <w:t>Entire agreement:</w:t>
      </w:r>
      <w:r>
        <w:rPr>
          <w:i/>
        </w:rPr>
        <w:t xml:space="preserve"> </w:t>
      </w:r>
      <w:r>
        <w:t>This Agreement constitutes the entire agreement between the parties relating to its subject matter.  Each party acknowledges that it has not entered into this Agreement on the basis of any warranty, representation, statement, agreement or undertaking except those expressly set out in this Agreement.  Each party waives any claim for breach of this Agreement, or any right to rescind this Agreement in respect of any representation which is not an express provision of this Agreement.  However, this clause does not exclude any liability which either party may have to the other (or any right which either party may have to rescind this Agreement) in respect of any fraudulent misrepresentation or fraudulent concealment prior to the execution of this Agreement.</w:t>
      </w:r>
    </w:p>
    <w:p>
      <w:pPr>
        <w:rPr>
          <w:b/>
        </w:rPr>
      </w:pPr>
    </w:p>
    <w:p>
      <w:pPr>
        <w:numPr>
          <w:ilvl w:val="1"/>
          <w:numId w:val="12"/>
        </w:numPr>
      </w:pPr>
      <w:r>
        <w:rPr>
          <w:b/>
        </w:rPr>
        <w:t xml:space="preserve">Amendments: </w:t>
      </w:r>
      <w:r>
        <w:t xml:space="preserve"> No variation or amendment of this Agreement will be effective unless it is made in writing and signed by each party's representative.</w:t>
      </w:r>
    </w:p>
    <w:p>
      <w:pPr>
        <w:rPr>
          <w:b/>
        </w:rPr>
      </w:pPr>
    </w:p>
    <w:p>
      <w:pPr>
        <w:numPr>
          <w:ilvl w:val="1"/>
          <w:numId w:val="12"/>
        </w:numPr>
      </w:pPr>
      <w:r>
        <w:rPr>
          <w:b/>
        </w:rPr>
        <w:t xml:space="preserve">Third parties: </w:t>
      </w:r>
      <w:r>
        <w:rPr>
          <w:i/>
        </w:rPr>
        <w:t xml:space="preserve"> </w:t>
      </w:r>
      <w:r>
        <w:t>No one except a party to this Agreement has any right to prevent the amendment of this Agreement or its termination, and no one except a party to this Agreement may enforce any benefit conferred by this Agreement, unless this Agreement expressly provides otherwise.</w:t>
      </w:r>
    </w:p>
    <w:p>
      <w:pPr>
        <w:rPr>
          <w:b/>
        </w:rPr>
      </w:pPr>
    </w:p>
    <w:p>
      <w:pPr>
        <w:numPr>
          <w:ilvl w:val="1"/>
          <w:numId w:val="12"/>
        </w:numPr>
      </w:pPr>
      <w:r>
        <w:rPr>
          <w:b/>
        </w:rPr>
        <w:t>Governing law:</w:t>
      </w:r>
      <w:r>
        <w:t xml:space="preserve">  This Agreement is governed by, and is to be construed in accordance with, </w:t>
      </w:r>
      <w:del w:id="3" w:author="DocXee" w:date="2026-10-06T06:24:57Z">
        <w:r>
          <w:delText>English law.  The English Courts will have exclusive jurisdiction to deal with any dispute which has arisen or may arise out of, or in connection with, this Agreement, except that either party may bring proceedings for an injunction in any</w:delText>
        </w:r>
      </w:del>
      <w:ins w:id="4" w:author="DocXee" w:date="2026-10-06T06:24:57Z">
        <w:r>
          <w:t>the laws of Hong Kong.  Any dispute arising out of or in connection with this Agreement shall be referred to and finally resolved by arbitration administered by the Hong Kong International Arbitration Centre (HKIAC) under the HKIAC Administered Arbitration Rules in force when the notice of arbitration is submitted.  The seat of arbitration shall be Hong Kong.  The tribunal shall consist of one arbitrator, unless the parties agree otherwise, and the language of the arbitration shall be English.  Nothing in this clause shall prevent either party from seeking interim or injunctive relief from any court of competent</w:t>
        </w:r>
      </w:ins>
      <w:r>
        <w:t xml:space="preserve"> jurisdiction.</w:t>
      </w:r>
    </w:p>
    <w:p>
      <w:pPr>
        <w:rPr>
          <w:b/>
        </w:rPr>
      </w:pPr>
    </w:p>
    <w:p>
      <w:pPr>
        <w:numPr>
          <w:ilvl w:val="1"/>
          <w:numId w:val="12"/>
        </w:numPr>
      </w:pPr>
      <w:r>
        <w:rPr>
          <w:b/>
        </w:rPr>
        <w:t xml:space="preserve">Escalation: </w:t>
      </w:r>
      <w:r>
        <w:t xml:space="preserve">If the parties are unable to reach agreement on any issue concerning this Agreement or the Project within 14 days after one party has notified the other of that issue, they will refer the matter to Professor Alan Whitcombe, Pro-Vice-Chancellor (Research) in the case of the University, and to Dr Mei Lin Wong, Chief Technology Officer in the case of the Company in an attempt to resolve the issue within 14 days after the referral.  Either party may </w:t>
      </w:r>
      <w:del w:id="5" w:author="DocXee" w:date="2026-10-06T06:24:57Z">
        <w:r>
          <w:delText>bring</w:delText>
        </w:r>
      </w:del>
      <w:ins w:id="6" w:author="DocXee" w:date="2026-10-06T06:24:57Z">
        <w:r>
          <w:t>commence arbitration</w:t>
        </w:r>
      </w:ins>
      <w:r>
        <w:t xml:space="preserve"> proceedings in accordance with clause 5.9 if the matter has not been resolved within that 14 day period, and either party may </w:t>
      </w:r>
      <w:del w:id="7" w:author="DocXee" w:date="2026-10-06T06:24:57Z">
        <w:r>
          <w:delText>apply to the court for an injunction</w:delText>
        </w:r>
      </w:del>
      <w:ins w:id="8" w:author="DocXee" w:date="2026-10-06T06:24:57Z">
        <w:r>
          <w:t>seek interim or injunctive relief from any court of competent jurisdiction</w:t>
        </w:r>
      </w:ins>
      <w:r>
        <w:t xml:space="preserve"> whether or not any issue has been escalated under this clause.</w:t>
      </w:r>
    </w:p>
    <w:p>
      <w:pPr>
        <w:ind w:left="720" w:right="0" w:hanging="720"/>
        <w:rPr>
          <w:b/>
        </w:rPr>
      </w:pPr>
    </w:p>
    <w:p>
      <w:pPr>
        <w:pStyle w:val="NormalBoldManches"/>
        <w:rPr>
          <w:b w:val="0"/>
        </w:rPr>
      </w:pPr>
    </w:p>
    <w:tbl>
      <w:tblPr>
        <w:tblW w:w="9242" w:type="dxa"/>
        <w:jc w:val="left"/>
        <w:tblInd w:w="0" w:type="dxa"/>
        <w:tblLayout w:type="fixed"/>
        <w:tblCellMar>
          <w:top w:w="0" w:type="dxa"/>
          <w:left w:w="108" w:type="dxa"/>
          <w:bottom w:w="0" w:type="dxa"/>
          <w:right w:w="108" w:type="dxa"/>
        </w:tblCellMar>
      </w:tblPr>
      <w:tblGrid>
        <w:gridCol w:w="4621"/>
        <w:gridCol w:w="4621"/>
      </w:tblGrid>
      <w:tr>
        <w:tblPrEx>
          <w:tblW w:w="9242" w:type="dxa"/>
          <w:jc w:val="left"/>
          <w:tblInd w:w="0" w:type="dxa"/>
          <w:tblLayout w:type="fixed"/>
        </w:tblPrEx>
        <w:trPr>
          <w:jc w:val="left"/>
        </w:trPr>
        <w:tc>
          <w:tcPr>
            <w:tcW w:w="4621" w:type="dxa"/>
          </w:tcPr>
          <w:p>
            <w:r>
              <w:rPr>
                <w:b/>
              </w:rPr>
              <w:t>SIGNED</w:t>
            </w:r>
            <w:r>
              <w:t xml:space="preserve"> for and on behalf of the University:</w:t>
            </w:r>
          </w:p>
          <w:p>
            <w:r>
              <w:t>Name: Dr Eleanor Marsh</w:t>
            </w:r>
          </w:p>
          <w:p>
            <w:r>
              <w:t>Position: Director of Research &amp; Innovation Services</w:t>
            </w:r>
          </w:p>
          <w:p>
            <w:r>
              <w:t>Signature</w:t>
            </w:r>
          </w:p>
        </w:tc>
        <w:tc>
          <w:tcPr>
            <w:tcW w:w="4621" w:type="dxa"/>
          </w:tcPr>
          <w:p>
            <w:pPr>
              <w:rPr>
                <w:b/>
              </w:rPr>
            </w:pPr>
            <w:r>
              <w:rPr>
                <w:b/>
              </w:rPr>
              <w:t>SIGNED</w:t>
            </w:r>
            <w:r>
              <w:t xml:space="preserve"> for and on behalf of the Company:</w:t>
            </w:r>
          </w:p>
          <w:p>
            <w:pPr>
              <w:rPr>
                <w:b/>
              </w:rPr>
            </w:pPr>
            <w:r>
              <w:rPr>
                <w:b/>
              </w:rPr>
              <w:t>Name: Daniel Cheung</w:t>
            </w:r>
          </w:p>
          <w:p>
            <w:pPr>
              <w:rPr>
                <w:b/>
              </w:rPr>
            </w:pPr>
            <w:r>
              <w:rPr>
                <w:b/>
              </w:rPr>
              <w:t>Position: Chief Executive Officer</w:t>
            </w:r>
          </w:p>
          <w:p>
            <w:pPr>
              <w:rPr>
                <w:b/>
              </w:rPr>
            </w:pPr>
            <w:r>
              <w:rPr>
                <w:b/>
              </w:rPr>
              <w:t>Signature</w:t>
            </w:r>
          </w:p>
          <w:p/>
        </w:tc>
      </w:tr>
    </w:tbl>
    <w:p/>
    <w:sectPr>
      <w:footerReference w:type="default" r:id="rId4"/>
      <w:type w:val="nextPage"/>
      <w:pgSz w:w="12240" w:h="15840"/>
      <w:pgMar w:top="1440" w:right="1440" w:bottom="1440" w:left="1440" w:header="0" w:footer="706" w:gutter="0"/>
      <w:pgNumType w:fmt="decimal"/>
      <w:cols w:space="708"/>
      <w:formProt w:val="0"/>
      <w:textDirection w:val="lrTb"/>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Verdana">
    <w:charset w:val="00"/>
    <w:family w:val="swiss"/>
    <w:pitch w:val="variable"/>
  </w:font>
  <w:font w:name="Book Antiqua">
    <w:charset w:val="00"/>
    <w:family w:val="roman"/>
    <w:pitch w:val="variable"/>
  </w:font>
  <w:font w:name="Gill Sans Std Light">
    <w:charset w:val="00"/>
    <w:family w:val="swiss"/>
    <w:pitch w:val="variable"/>
  </w:font>
  <w:font w:name="Tahoma">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320"/>
        <w:tab w:val="clear" w:pos="8640"/>
        <w:tab w:val="right" w:pos="9070"/>
      </w:tabs>
      <w:ind w:right="360"/>
      <w:jc w:val="left"/>
      <w:rPr>
        <w:sz w:val="18"/>
      </w:rPr>
    </w:pPr>
    <w:r>
      <w:rPr>
        <w:sz w:val="18"/>
      </w:rPr>
      <w:t>Sample Non-Disclosure Agreement – October 2005</w:t>
      <w:tab/>
    </w:r>
    <w:r>
      <mc:AlternateContent>
        <mc:Choice Requires="wps">
          <w:drawing>
            <wp:anchor distT="0" distB="0" distL="0" distR="0" simplePos="0" relativeHeight="251659264" behindDoc="0" locked="0" layoutInCell="0" allowOverlap="1">
              <wp:simplePos x="0" y="0"/>
              <wp:positionH relativeFrom="margin">
                <wp:align>right</wp:align>
              </wp:positionH>
              <wp:positionV relativeFrom="paragraph">
                <wp:posOffset>635</wp:posOffset>
              </wp:positionV>
              <wp:extent cx="14605" cy="173355"/>
              <wp:effectExtent l="0" t="0" r="0" b="0"/>
              <wp:wrapSquare wrapText="bothSides"/>
              <wp:docPr id="1" name="Frame1"/>
              <wp:cNvGraphicFramePr/>
              <a:graphic xmlns:a="http://schemas.openxmlformats.org/drawingml/2006/main">
                <a:graphicData uri="http://schemas.microsoft.com/office/word/2010/wordprocessingShape">
                  <wps:wsp xmlns:wps="http://schemas.microsoft.com/office/word/2010/wordprocessingShape">
                    <wps:cNvSpPr txBox="1"/>
                    <wps:spPr>
                      <a:xfrm>
                        <a:off x="0" y="0"/>
                        <a:ext cx="14605" cy="173355"/>
                      </a:xfrm>
                      <a:prstGeom prst="rect">
                        <a:avLst/>
                      </a:prstGeom>
                      <a:solidFill>
                        <a:srgbClr val="FFFFFF">
                          <a:alpha val="0"/>
                        </a:srgbClr>
                      </a:solidFill>
                    </wps:spPr>
                    <wps:txbx>
                      <w:txbxContent>
                        <w:p>
                          <w:pPr>
                            <w:pStyle w:val="Footer"/>
                            <w:rPr>
                              <w:rStyle w:val="PageNumber"/>
                            </w:rPr>
                          </w:pPr>
                        </w:p>
                      </w:txbxContent>
                    </wps:txbx>
                    <wps:bodyPr lIns="0" tIns="0" rIns="0" bIns="0" anchor="t"/>
                  </wps:wsp>
                </a:graphicData>
              </a:graphic>
            </wp:anchor>
          </w:drawing>
        </mc:Choice>
        <mc:Fallback>
          <w:pict>
            <v:rect id="_x0000_s2049" style="width:1.15pt;height:13.65pt;margin-top:0.05pt;margin-left:466.85pt;mso-position-horizontal:right;mso-position-horizontal-relative:margin;mso-wrap-distance-bottom:0;mso-wrap-distance-left:0;mso-wrap-distance-right:0;mso-wrap-distance-top:0;position:absolute;z-index:251658240" fillcolor="white">
              <v:fill opacity="0"/>
              <v:textbox inset="0,0,0,0">
                <w:txbxContent>
                  <w:p>
                    <w:pPr>
                      <w:pStyle w:val="Footer"/>
                      <w:rPr>
                        <w:rStyle w:val="PageNumber"/>
                      </w:rPr>
                    </w:pPr>
                  </w:p>
                </w:txbxContent>
              </v:textbox>
              <w10:wrap type="square"/>
            </v:rect>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8F5017"/>
    <w:multiLevelType w:val="hybridMultilevel"/>
    <w:tmpl w:val="00000000"/>
    <w:lvl w:ilvl="0">
      <w:start w:val="1"/>
      <w:numFmt w:val="decimal"/>
      <w:lvlText w:val="%1."/>
      <w:lvlJc w:val="left"/>
      <w:pPr>
        <w:tabs>
          <w:tab w:val="num" w:pos="720"/>
        </w:tabs>
        <w:ind w:left="720" w:hanging="720"/>
      </w:pPr>
      <w:rPr>
        <w:rFonts w:ascii="Book Antiqua" w:hAnsi="Book Antiqua" w:cs="Book Antiqua"/>
        <w:sz w:val="24"/>
      </w:rPr>
    </w:lvl>
    <w:lvl w:ilvl="1">
      <w:start w:val="1"/>
      <w:numFmt w:val="lowerLetter"/>
      <w:lvlText w:val="%2)"/>
      <w:lvlJc w:val="left"/>
      <w:pPr>
        <w:tabs>
          <w:tab w:val="num" w:pos="1440"/>
        </w:tabs>
        <w:ind w:left="1440" w:hanging="720"/>
      </w:pPr>
      <w:rPr>
        <w:rFonts w:ascii="Book Antiqua" w:hAnsi="Book Antiqua" w:cs="Book Antiqua"/>
        <w:sz w:val="24"/>
      </w:rPr>
    </w:lvl>
    <w:lvl w:ilvl="2">
      <w:start w:val="1"/>
      <w:numFmt w:val="lowerRoman"/>
      <w:lvlText w:val="%3)"/>
      <w:lvlJc w:val="left"/>
      <w:pPr>
        <w:tabs>
          <w:tab w:val="num" w:pos="2160"/>
        </w:tabs>
        <w:ind w:left="2160" w:hanging="720"/>
      </w:pPr>
      <w:rPr>
        <w:rFonts w:ascii="Book Antiqua" w:hAnsi="Book Antiqua" w:cs="Book Antiqua"/>
        <w:sz w:val="24"/>
      </w:rPr>
    </w:lvl>
    <w:lvl w:ilvl="3">
      <w:start w:val="1"/>
      <w:numFmt w:val="bullet"/>
      <w:lvlText w:val=""/>
      <w:lvlJc w:val="left"/>
      <w:pPr>
        <w:tabs>
          <w:tab w:val="num" w:pos="2160"/>
        </w:tabs>
        <w:ind w:left="2160" w:hanging="720"/>
      </w:pPr>
      <w:rPr>
        <w:rFonts w:ascii="Symbol" w:hAnsi="Symbol" w:cs="Symbol" w:hint="default"/>
        <w:color w:val="auto"/>
        <w:sz w:val="24"/>
      </w:rPr>
    </w:lvl>
    <w:lvl w:ilvl="4">
      <w:start w:val="1"/>
      <w:numFmt w:val="bullet"/>
      <w:lvlText w:val=""/>
      <w:lvlJc w:val="left"/>
      <w:pPr>
        <w:tabs>
          <w:tab w:val="num" w:pos="2160"/>
        </w:tabs>
        <w:ind w:left="2160" w:hanging="720"/>
      </w:pPr>
      <w:rPr>
        <w:rFonts w:ascii="Symbol" w:hAnsi="Symbol" w:cs="Symbol" w:hint="default"/>
        <w:color w:val="auto"/>
        <w:sz w:val="24"/>
      </w:rPr>
    </w:lvl>
    <w:lvl w:ilvl="5">
      <w:start w:val="1"/>
      <w:numFmt w:val="none"/>
      <w:suff w:val="nothing"/>
      <w:lvlJc w:val="left"/>
      <w:pPr>
        <w:tabs>
          <w:tab w:val="num" w:pos="2520"/>
        </w:tabs>
        <w:ind w:left="2520" w:hanging="1080"/>
      </w:pPr>
    </w:lvl>
    <w:lvl w:ilvl="6">
      <w:start w:val="1"/>
      <w:numFmt w:val="none"/>
      <w:suff w:val="nothing"/>
      <w:lvlJc w:val="left"/>
      <w:pPr>
        <w:tabs>
          <w:tab w:val="num" w:pos="2520"/>
        </w:tabs>
        <w:ind w:left="2520" w:hanging="1080"/>
      </w:pPr>
    </w:lvl>
    <w:lvl w:ilvl="7">
      <w:start w:val="1"/>
      <w:numFmt w:val="none"/>
      <w:suff w:val="nothing"/>
      <w:lvlText w:val="%1.%2.%3.%4.%5.%6%7%8."/>
      <w:lvlJc w:val="left"/>
      <w:pPr>
        <w:tabs>
          <w:tab w:val="num" w:pos="4320"/>
        </w:tabs>
        <w:ind w:left="3744" w:hanging="1224"/>
      </w:pPr>
    </w:lvl>
    <w:lvl w:ilvl="8">
      <w:start w:val="1"/>
      <w:numFmt w:val="none"/>
      <w:suff w:val="nothing"/>
      <w:lvlText w:val="%1.%2.%3.%4.%5.%6%7%8%9."/>
      <w:lvlJc w:val="left"/>
      <w:pPr>
        <w:tabs>
          <w:tab w:val="num" w:pos="5040"/>
        </w:tabs>
        <w:ind w:left="4320" w:hanging="1440"/>
      </w:pPr>
    </w:lvl>
  </w:abstractNum>
  <w:abstractNum w:abstractNumId="1">
    <w:nsid w:val="0EC0FEC4"/>
    <w:multiLevelType w:val="hybridMultilevel"/>
    <w:tmpl w:val="00000000"/>
    <w:lvl w:ilvl="0">
      <w:start w:val="3"/>
      <w:numFmt w:val="decimal"/>
      <w:lvlText w:val="%1."/>
      <w:lvlJc w:val="left"/>
      <w:pPr>
        <w:tabs>
          <w:tab w:val="num" w:pos="360"/>
        </w:tabs>
        <w:ind w:left="360" w:hanging="360"/>
      </w:pPr>
      <w:rPr>
        <w:b w:val="0"/>
      </w:rPr>
    </w:lvl>
    <w:lvl w:ilvl="1">
      <w:start w:val="2"/>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440"/>
        </w:tabs>
        <w:ind w:left="1440" w:hanging="144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800"/>
        </w:tabs>
        <w:ind w:left="1800" w:hanging="1800"/>
      </w:pPr>
    </w:lvl>
    <w:lvl w:ilvl="7">
      <w:start w:val="1"/>
      <w:numFmt w:val="decimal"/>
      <w:isLgl/>
      <w:lvlText w:val="%1.%2.%3.%4.%5.%6.%7.%8"/>
      <w:lvlJc w:val="left"/>
      <w:pPr>
        <w:tabs>
          <w:tab w:val="num" w:pos="2160"/>
        </w:tabs>
        <w:ind w:left="2160" w:hanging="2160"/>
      </w:pPr>
    </w:lvl>
    <w:lvl w:ilvl="8">
      <w:start w:val="1"/>
      <w:numFmt w:val="decimal"/>
      <w:isLgl/>
      <w:lvlText w:val="%1.%2.%3.%4.%5.%6.%7.%8.%9"/>
      <w:lvlJc w:val="left"/>
      <w:pPr>
        <w:tabs>
          <w:tab w:val="num" w:pos="2160"/>
        </w:tabs>
        <w:ind w:left="2160" w:hanging="2160"/>
      </w:pPr>
    </w:lvl>
  </w:abstractNum>
  <w:abstractNum w:abstractNumId="2">
    <w:nsid w:val="12B4C609"/>
    <w:multiLevelType w:val="hybridMultilevel"/>
    <w:tmpl w:val="00000000"/>
    <w:lvl w:ilvl="0">
      <w:start w:val="4"/>
      <w:numFmt w:val="decimal"/>
      <w:lvlText w:val="%1"/>
      <w:lvlJc w:val="left"/>
      <w:pPr>
        <w:tabs>
          <w:tab w:val="num" w:pos="510"/>
        </w:tabs>
        <w:ind w:left="510" w:hanging="510"/>
      </w:pPr>
    </w:lvl>
    <w:lvl w:ilvl="1">
      <w:start w:val="3"/>
      <w:numFmt w:val="decimal"/>
      <w:lvlText w:val="%1.%2"/>
      <w:lvlJc w:val="left"/>
      <w:pPr>
        <w:tabs>
          <w:tab w:val="num" w:pos="1080"/>
        </w:tabs>
        <w:ind w:left="1080" w:hanging="72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880"/>
        </w:tabs>
        <w:ind w:left="2880" w:hanging="144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960"/>
        </w:tabs>
        <w:ind w:left="3960" w:hanging="1800"/>
      </w:pPr>
    </w:lvl>
    <w:lvl w:ilvl="7">
      <w:start w:val="1"/>
      <w:numFmt w:val="decimal"/>
      <w:lvlText w:val="%1.%2.%3.%4.%5.%6.%7.%8"/>
      <w:lvlJc w:val="left"/>
      <w:pPr>
        <w:tabs>
          <w:tab w:val="num" w:pos="4680"/>
        </w:tabs>
        <w:ind w:left="4680" w:hanging="2160"/>
      </w:pPr>
    </w:lvl>
    <w:lvl w:ilvl="8">
      <w:start w:val="1"/>
      <w:numFmt w:val="decimal"/>
      <w:lvlText w:val="%1.%2.%3.%4.%5.%6.%7.%8.%9"/>
      <w:lvlJc w:val="left"/>
      <w:pPr>
        <w:tabs>
          <w:tab w:val="num" w:pos="5040"/>
        </w:tabs>
        <w:ind w:left="5040" w:hanging="2160"/>
      </w:pPr>
    </w:lvl>
  </w:abstractNum>
  <w:abstractNum w:abstractNumId="3">
    <w:nsid w:val="15F0D34E"/>
    <w:multiLevelType w:val="hybridMultilevel"/>
    <w:tmpl w:val="00000000"/>
    <w:lvl w:ilvl="0">
      <w:start w:val="1"/>
      <w:numFmt w:val="decimal"/>
      <w:lvlText w:val="%1."/>
      <w:lvlJc w:val="left"/>
      <w:pPr>
        <w:tabs>
          <w:tab w:val="num" w:pos="720"/>
        </w:tabs>
        <w:ind w:left="720" w:hanging="720"/>
      </w:pPr>
      <w:rPr>
        <w:rFonts w:ascii="Book Antiqua" w:hAnsi="Book Antiqua" w:cs="Book Antiqua"/>
        <w:sz w:val="24"/>
      </w:rPr>
    </w:lvl>
    <w:lvl w:ilvl="1">
      <w:start w:val="1"/>
      <w:numFmt w:val="decimal"/>
      <w:lvlText w:val="%1.%2."/>
      <w:lvlJc w:val="left"/>
      <w:pPr>
        <w:tabs>
          <w:tab w:val="num" w:pos="1440"/>
        </w:tabs>
        <w:ind w:left="1440" w:hanging="720"/>
      </w:pPr>
      <w:rPr>
        <w:rFonts w:ascii="Verdana" w:hAnsi="Verdana" w:cs="Verdana"/>
        <w:b w:val="0"/>
        <w:i w:val="0"/>
        <w:color w:val="auto"/>
        <w:sz w:val="20"/>
      </w:rPr>
    </w:lvl>
    <w:lvl w:ilvl="2">
      <w:start w:val="1"/>
      <w:numFmt w:val="decimal"/>
      <w:lvlText w:val="%1.%2.%3."/>
      <w:lvlJc w:val="left"/>
      <w:pPr>
        <w:tabs>
          <w:tab w:val="num" w:pos="2517"/>
        </w:tabs>
        <w:ind w:left="2517" w:hanging="1077"/>
      </w:pPr>
      <w:rPr>
        <w:rFonts w:ascii="Verdana" w:hAnsi="Verdana" w:cs="Verdana"/>
        <w:b w:val="0"/>
        <w:i w:val="0"/>
        <w:sz w:val="20"/>
      </w:rPr>
    </w:lvl>
    <w:lvl w:ilvl="3">
      <w:start w:val="1"/>
      <w:numFmt w:val="lowerLetter"/>
      <w:lvlText w:val="%4)"/>
      <w:lvlJc w:val="left"/>
      <w:pPr>
        <w:tabs>
          <w:tab w:val="num" w:pos="2517"/>
        </w:tabs>
        <w:ind w:left="2517" w:hanging="1077"/>
      </w:pPr>
      <w:rPr>
        <w:rFonts w:ascii="Verdana" w:hAnsi="Verdana" w:cs="Verdana"/>
        <w:b w:val="0"/>
        <w:i w:val="0"/>
        <w:color w:val="auto"/>
        <w:sz w:val="20"/>
      </w:rPr>
    </w:lvl>
    <w:lvl w:ilvl="4">
      <w:start w:val="1"/>
      <w:numFmt w:val="lowerRoman"/>
      <w:lvlText w:val="%5)"/>
      <w:lvlJc w:val="left"/>
      <w:pPr>
        <w:tabs>
          <w:tab w:val="num" w:pos="2517"/>
        </w:tabs>
        <w:ind w:left="2517" w:hanging="1077"/>
      </w:pPr>
      <w:rPr>
        <w:rFonts w:ascii="Verdana" w:hAnsi="Verdana" w:cs="Verdana"/>
        <w:b w:val="0"/>
        <w:i w:val="0"/>
        <w:sz w:val="20"/>
      </w:rPr>
    </w:lvl>
    <w:lvl w:ilvl="5">
      <w:start w:val="1"/>
      <w:numFmt w:val="bullet"/>
      <w:lvlText w:val=""/>
      <w:lvlJc w:val="left"/>
      <w:pPr>
        <w:tabs>
          <w:tab w:val="num" w:pos="2517"/>
        </w:tabs>
        <w:ind w:left="2517" w:hanging="1077"/>
      </w:pPr>
      <w:rPr>
        <w:rFonts w:ascii="Symbol" w:hAnsi="Symbol" w:cs="Symbol" w:hint="default"/>
        <w:color w:val="auto"/>
        <w:sz w:val="24"/>
      </w:rPr>
    </w:lvl>
    <w:lvl w:ilvl="6">
      <w:start w:val="1"/>
      <w:numFmt w:val="bullet"/>
      <w:lvlText w:val="-"/>
      <w:lvlJc w:val="left"/>
      <w:pPr>
        <w:tabs>
          <w:tab w:val="num" w:pos="2517"/>
        </w:tabs>
        <w:ind w:left="2517" w:hanging="1077"/>
      </w:pPr>
      <w:rPr>
        <w:rFonts w:ascii="Book Antiqua" w:hAnsi="Book Antiqua" w:cs="Book Antiqua" w:hint="default"/>
        <w:color w:val="auto"/>
        <w:sz w:val="24"/>
      </w:r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5040"/>
        </w:tabs>
        <w:ind w:left="4320" w:hanging="1440"/>
      </w:pPr>
    </w:lvl>
  </w:abstractNum>
  <w:abstractNum w:abstractNumId="4">
    <w:nsid w:val="1AC3B174"/>
    <w:multiLevelType w:val="hybridMultilevel"/>
    <w:tmpl w:val="00000000"/>
    <w:lvl w:ilvl="0">
      <w:start w:val="2"/>
      <w:numFmt w:val="decimal"/>
      <w:lvlText w:val="%1"/>
      <w:lvlJc w:val="left"/>
      <w:pPr>
        <w:tabs>
          <w:tab w:val="num" w:pos="510"/>
        </w:tabs>
        <w:ind w:left="510" w:hanging="510"/>
      </w:pPr>
    </w:lvl>
    <w:lvl w:ilvl="1">
      <w:start w:val="2"/>
      <w:numFmt w:val="decimal"/>
      <w:lvlText w:val="%1.%2"/>
      <w:lvlJc w:val="left"/>
      <w:pPr>
        <w:tabs>
          <w:tab w:val="num" w:pos="1080"/>
        </w:tabs>
        <w:ind w:left="1080" w:hanging="720"/>
      </w:pPr>
    </w:lvl>
    <w:lvl w:ilvl="2">
      <w:start w:val="6"/>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880"/>
        </w:tabs>
        <w:ind w:left="2880" w:hanging="144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960"/>
        </w:tabs>
        <w:ind w:left="3960" w:hanging="1800"/>
      </w:pPr>
    </w:lvl>
    <w:lvl w:ilvl="7">
      <w:start w:val="1"/>
      <w:numFmt w:val="decimal"/>
      <w:lvlText w:val="%1.%2.%3.%4.%5.%6.%7.%8"/>
      <w:lvlJc w:val="left"/>
      <w:pPr>
        <w:tabs>
          <w:tab w:val="num" w:pos="4680"/>
        </w:tabs>
        <w:ind w:left="4680" w:hanging="2160"/>
      </w:pPr>
    </w:lvl>
    <w:lvl w:ilvl="8">
      <w:start w:val="1"/>
      <w:numFmt w:val="decimal"/>
      <w:lvlText w:val="%1.%2.%3.%4.%5.%6.%7.%8.%9"/>
      <w:lvlJc w:val="left"/>
      <w:pPr>
        <w:tabs>
          <w:tab w:val="num" w:pos="5040"/>
        </w:tabs>
        <w:ind w:left="5040" w:hanging="2160"/>
      </w:pPr>
    </w:lvl>
  </w:abstractNum>
  <w:abstractNum w:abstractNumId="5">
    <w:nsid w:val="33D147AC"/>
    <w:multiLevelType w:val="hybridMultilevel"/>
    <w:tmpl w:val="00000000"/>
    <w:lvl w:ilvl="0">
      <w:start w:val="2"/>
      <w:numFmt w:val="decimal"/>
      <w:lvlText w:val="(%1)"/>
      <w:lvlJc w:val="left"/>
      <w:pPr>
        <w:tabs>
          <w:tab w:val="num" w:pos="720"/>
        </w:tabs>
        <w:ind w:left="720" w:hanging="720"/>
      </w:pPr>
      <w:rPr>
        <w:b/>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37C02C07"/>
    <w:multiLevelType w:val="hybridMultilevel"/>
    <w:tmpl w:val="00000000"/>
    <w:lvl w:ilvl="0">
      <w:start w:val="1"/>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304"/>
        </w:tabs>
        <w:ind w:left="2304" w:hanging="864"/>
      </w:pPr>
    </w:lvl>
    <w:lvl w:ilvl="3">
      <w:start w:val="1"/>
      <w:numFmt w:val="decimal"/>
      <w:lvlText w:val="%1.%2.%3.%4."/>
      <w:lvlJc w:val="left"/>
      <w:pPr>
        <w:tabs>
          <w:tab w:val="num" w:pos="3168"/>
        </w:tabs>
        <w:ind w:left="3168" w:hanging="864"/>
      </w:pPr>
    </w:lvl>
    <w:lvl w:ilvl="4">
      <w:start w:val="1"/>
      <w:numFmt w:val="decimal"/>
      <w:lvlText w:val="%1.%2.%3.%4.%5."/>
      <w:lvlJc w:val="left"/>
      <w:pPr>
        <w:tabs>
          <w:tab w:val="num" w:pos="252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7">
    <w:nsid w:val="40588B98"/>
    <w:multiLevelType w:val="hybridMultilevel"/>
    <w:tmpl w:val="00000000"/>
    <w:lvl w:ilvl="0">
      <w:start w:val="5"/>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8">
    <w:nsid w:val="42349645"/>
    <w:multiLevelType w:val="hybridMultilevel"/>
    <w:tmpl w:val="00000000"/>
    <w:lvl w:ilvl="0">
      <w:start w:val="1"/>
      <w:numFmt w:val="decimal"/>
      <w:pStyle w:val="Heading1"/>
      <w:lvlText w:val="%1."/>
      <w:lvlJc w:val="left"/>
      <w:pPr>
        <w:tabs>
          <w:tab w:val="num" w:pos="720"/>
        </w:tabs>
        <w:ind w:left="720" w:hanging="720"/>
      </w:pPr>
      <w:rPr>
        <w:rFonts w:ascii="Verdana" w:hAnsi="Verdana" w:cs="Verdana"/>
        <w:b w:val="0"/>
        <w:i w:val="0"/>
        <w:sz w:val="20"/>
        <w:u w:val="none"/>
      </w:rPr>
    </w:lvl>
    <w:lvl w:ilvl="1">
      <w:start w:val="1"/>
      <w:numFmt w:val="decimal"/>
      <w:pStyle w:val="Heading2"/>
      <w:lvlText w:val="%1.%2."/>
      <w:lvlJc w:val="left"/>
      <w:pPr>
        <w:tabs>
          <w:tab w:val="num" w:pos="1440"/>
        </w:tabs>
        <w:ind w:left="1440" w:hanging="720"/>
      </w:pPr>
      <w:rPr>
        <w:rFonts w:ascii="Verdana" w:hAnsi="Verdana" w:cs="Verdana"/>
        <w:sz w:val="20"/>
      </w:rPr>
    </w:lvl>
    <w:lvl w:ilvl="2">
      <w:start w:val="1"/>
      <w:numFmt w:val="decimal"/>
      <w:pStyle w:val="Heading3"/>
      <w:lvlText w:val="%1.%2.%3."/>
      <w:lvlJc w:val="left"/>
      <w:pPr>
        <w:tabs>
          <w:tab w:val="num" w:pos="2517"/>
        </w:tabs>
        <w:ind w:left="2517" w:hanging="1077"/>
      </w:pPr>
      <w:rPr>
        <w:rFonts w:ascii="Verdana" w:hAnsi="Verdana" w:cs="Verdana"/>
        <w:sz w:val="20"/>
      </w:rPr>
    </w:lvl>
    <w:lvl w:ilvl="3">
      <w:start w:val="1"/>
      <w:numFmt w:val="lowerLetter"/>
      <w:pStyle w:val="Heading4"/>
      <w:lvlText w:val="%4)"/>
      <w:lvlJc w:val="left"/>
      <w:pPr>
        <w:tabs>
          <w:tab w:val="num" w:pos="2517"/>
        </w:tabs>
        <w:ind w:left="2517" w:hanging="1077"/>
      </w:pPr>
      <w:rPr>
        <w:rFonts w:ascii="Verdana" w:hAnsi="Verdana" w:cs="Verdana"/>
        <w:sz w:val="20"/>
      </w:rPr>
    </w:lvl>
    <w:lvl w:ilvl="4">
      <w:start w:val="1"/>
      <w:numFmt w:val="lowerRoman"/>
      <w:pStyle w:val="Heading5"/>
      <w:lvlText w:val="%5)"/>
      <w:lvlJc w:val="left"/>
      <w:pPr>
        <w:tabs>
          <w:tab w:val="num" w:pos="2517"/>
        </w:tabs>
        <w:ind w:left="2517" w:hanging="1077"/>
      </w:pPr>
      <w:rPr>
        <w:rFonts w:ascii="Verdana" w:hAnsi="Verdana" w:cs="Verdana"/>
        <w:sz w:val="20"/>
      </w:rPr>
    </w:lvl>
    <w:lvl w:ilvl="5">
      <w:start w:val="1"/>
      <w:numFmt w:val="bullet"/>
      <w:lvlText w:val=""/>
      <w:lvlJc w:val="left"/>
      <w:pPr>
        <w:tabs>
          <w:tab w:val="num" w:pos="2517"/>
        </w:tabs>
        <w:ind w:left="2517" w:hanging="1077"/>
      </w:pPr>
      <w:rPr>
        <w:rFonts w:ascii="Symbol" w:hAnsi="Symbol" w:cs="Symbol" w:hint="default"/>
        <w:color w:val="auto"/>
        <w:sz w:val="24"/>
      </w:rPr>
    </w:lvl>
    <w:lvl w:ilvl="6">
      <w:start w:val="1"/>
      <w:numFmt w:val="bullet"/>
      <w:lvlText w:val="-"/>
      <w:lvlJc w:val="left"/>
      <w:pPr>
        <w:tabs>
          <w:tab w:val="num" w:pos="2517"/>
        </w:tabs>
        <w:ind w:left="2517" w:hanging="1077"/>
      </w:pPr>
      <w:rPr>
        <w:rFonts w:ascii="Book Antiqua" w:hAnsi="Book Antiqua" w:cs="Book Antiqua" w:hint="default"/>
        <w:color w:val="auto"/>
        <w:sz w:val="24"/>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nsid w:val="4F7742A6"/>
    <w:multiLevelType w:val="hybridMultilevel"/>
    <w:tmpl w:val="00000000"/>
    <w:lvl w:ilvl="0">
      <w:start w:val="1"/>
      <w:numFmt w:val="decimal"/>
      <w:lvlText w:val="%1."/>
      <w:lvlJc w:val="left"/>
      <w:pPr>
        <w:tabs>
          <w:tab w:val="num" w:pos="720"/>
        </w:tabs>
        <w:ind w:left="720" w:hanging="720"/>
      </w:pPr>
      <w:rPr>
        <w:rFonts w:ascii="Book Antiqua" w:hAnsi="Book Antiqua" w:cs="Book Antiqua"/>
        <w:sz w:val="24"/>
      </w:rPr>
    </w:lvl>
    <w:lvl w:ilvl="1">
      <w:start w:val="1"/>
      <w:numFmt w:val="lowerLetter"/>
      <w:lvlText w:val="%2)"/>
      <w:lvlJc w:val="left"/>
      <w:pPr>
        <w:tabs>
          <w:tab w:val="num" w:pos="1440"/>
        </w:tabs>
        <w:ind w:left="1440" w:hanging="720"/>
      </w:pPr>
      <w:rPr>
        <w:rFonts w:ascii="Book Antiqua" w:hAnsi="Book Antiqua" w:cs="Book Antiqua"/>
        <w:sz w:val="24"/>
      </w:rPr>
    </w:lvl>
    <w:lvl w:ilvl="2">
      <w:start w:val="1"/>
      <w:numFmt w:val="lowerRoman"/>
      <w:lvlText w:val="%3)"/>
      <w:lvlJc w:val="left"/>
      <w:pPr>
        <w:tabs>
          <w:tab w:val="num" w:pos="2160"/>
        </w:tabs>
        <w:ind w:left="2160" w:hanging="720"/>
      </w:pPr>
      <w:rPr>
        <w:rFonts w:ascii="Book Antiqua" w:hAnsi="Book Antiqua" w:cs="Book Antiqua"/>
        <w:sz w:val="24"/>
      </w:rPr>
    </w:lvl>
    <w:lvl w:ilvl="3">
      <w:start w:val="1"/>
      <w:numFmt w:val="bullet"/>
      <w:lvlText w:val=""/>
      <w:lvlJc w:val="left"/>
      <w:pPr>
        <w:tabs>
          <w:tab w:val="num" w:pos="2160"/>
        </w:tabs>
        <w:ind w:left="2160" w:hanging="720"/>
      </w:pPr>
      <w:rPr>
        <w:rFonts w:ascii="Symbol" w:hAnsi="Symbol" w:cs="Symbol" w:hint="default"/>
        <w:color w:val="auto"/>
        <w:sz w:val="24"/>
      </w:rPr>
    </w:lvl>
    <w:lvl w:ilvl="4">
      <w:start w:val="1"/>
      <w:numFmt w:val="bullet"/>
      <w:lvlText w:val=""/>
      <w:lvlJc w:val="left"/>
      <w:pPr>
        <w:tabs>
          <w:tab w:val="num" w:pos="2160"/>
        </w:tabs>
        <w:ind w:left="2160" w:hanging="720"/>
      </w:pPr>
      <w:rPr>
        <w:rFonts w:ascii="Symbol" w:hAnsi="Symbol" w:cs="Symbol" w:hint="default"/>
        <w:color w:val="auto"/>
        <w:sz w:val="24"/>
      </w:rPr>
    </w:lvl>
    <w:lvl w:ilvl="5">
      <w:start w:val="1"/>
      <w:numFmt w:val="none"/>
      <w:suff w:val="nothing"/>
      <w:lvlJc w:val="left"/>
      <w:pPr>
        <w:tabs>
          <w:tab w:val="num" w:pos="2520"/>
        </w:tabs>
        <w:ind w:left="2520" w:hanging="1080"/>
      </w:pPr>
    </w:lvl>
    <w:lvl w:ilvl="6">
      <w:start w:val="1"/>
      <w:numFmt w:val="none"/>
      <w:suff w:val="nothing"/>
      <w:lvlJc w:val="left"/>
      <w:pPr>
        <w:tabs>
          <w:tab w:val="num" w:pos="2520"/>
        </w:tabs>
        <w:ind w:left="2520" w:hanging="1080"/>
      </w:pPr>
    </w:lvl>
    <w:lvl w:ilvl="7">
      <w:start w:val="1"/>
      <w:numFmt w:val="none"/>
      <w:suff w:val="nothing"/>
      <w:lvlText w:val="%1.%2.%3.%4.%5.%6%7%8."/>
      <w:lvlJc w:val="left"/>
      <w:pPr>
        <w:tabs>
          <w:tab w:val="num" w:pos="4320"/>
        </w:tabs>
        <w:ind w:left="3744" w:hanging="1224"/>
      </w:pPr>
    </w:lvl>
    <w:lvl w:ilvl="8">
      <w:start w:val="1"/>
      <w:numFmt w:val="none"/>
      <w:suff w:val="nothing"/>
      <w:lvlText w:val="%1.%2.%3.%4.%5.%6%7%8%9."/>
      <w:lvlJc w:val="left"/>
      <w:pPr>
        <w:tabs>
          <w:tab w:val="num" w:pos="5040"/>
        </w:tabs>
        <w:ind w:left="4320" w:hanging="1440"/>
      </w:pPr>
    </w:lvl>
  </w:abstractNum>
  <w:abstractNum w:abstractNumId="10">
    <w:nsid w:val="50920B06"/>
    <w:multiLevelType w:val="hybridMultilevel"/>
    <w:tmpl w:val="00000000"/>
    <w:lvl w:ilvl="0">
      <w:start w:val="4"/>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11">
    <w:nsid w:val="5711C3D6"/>
    <w:multiLevelType w:val="hybridMultilevel"/>
    <w:tmpl w:val="00000000"/>
    <w:lvl w:ilvl="0">
      <w:start w:val="1"/>
      <w:numFmt w:val="decimal"/>
      <w:lvlText w:val="%1."/>
      <w:lvlJc w:val="left"/>
      <w:pPr>
        <w:tabs>
          <w:tab w:val="num" w:pos="720"/>
        </w:tabs>
        <w:ind w:left="720" w:hanging="720"/>
      </w:pPr>
      <w:rPr>
        <w:rFonts w:ascii="Book Antiqua" w:hAnsi="Book Antiqua" w:cs="Book Antiqua"/>
        <w:sz w:val="24"/>
      </w:rPr>
    </w:lvl>
    <w:lvl w:ilvl="1">
      <w:start w:val="1"/>
      <w:numFmt w:val="lowerLetter"/>
      <w:lvlText w:val="%2)"/>
      <w:lvlJc w:val="left"/>
      <w:pPr>
        <w:tabs>
          <w:tab w:val="num" w:pos="1440"/>
        </w:tabs>
        <w:ind w:left="1440" w:hanging="720"/>
      </w:pPr>
      <w:rPr>
        <w:rFonts w:ascii="Book Antiqua" w:hAnsi="Book Antiqua" w:cs="Book Antiqua"/>
        <w:sz w:val="24"/>
      </w:rPr>
    </w:lvl>
    <w:lvl w:ilvl="2">
      <w:start w:val="1"/>
      <w:numFmt w:val="lowerRoman"/>
      <w:lvlText w:val="%3)"/>
      <w:lvlJc w:val="left"/>
      <w:pPr>
        <w:tabs>
          <w:tab w:val="num" w:pos="2160"/>
        </w:tabs>
        <w:ind w:left="2160" w:hanging="720"/>
      </w:pPr>
      <w:rPr>
        <w:rFonts w:ascii="Book Antiqua" w:hAnsi="Book Antiqua" w:cs="Book Antiqua"/>
        <w:sz w:val="24"/>
      </w:rPr>
    </w:lvl>
    <w:lvl w:ilvl="3">
      <w:start w:val="1"/>
      <w:numFmt w:val="bullet"/>
      <w:lvlText w:val=""/>
      <w:lvlJc w:val="left"/>
      <w:pPr>
        <w:tabs>
          <w:tab w:val="num" w:pos="2160"/>
        </w:tabs>
        <w:ind w:left="2160" w:hanging="720"/>
      </w:pPr>
      <w:rPr>
        <w:rFonts w:ascii="Symbol" w:hAnsi="Symbol" w:cs="Symbol" w:hint="default"/>
        <w:color w:val="auto"/>
        <w:sz w:val="24"/>
      </w:rPr>
    </w:lvl>
    <w:lvl w:ilvl="4">
      <w:start w:val="1"/>
      <w:numFmt w:val="bullet"/>
      <w:lvlText w:val=""/>
      <w:lvlJc w:val="left"/>
      <w:pPr>
        <w:tabs>
          <w:tab w:val="num" w:pos="2160"/>
        </w:tabs>
        <w:ind w:left="2160" w:hanging="720"/>
      </w:pPr>
      <w:rPr>
        <w:rFonts w:ascii="Symbol" w:hAnsi="Symbol" w:cs="Symbol" w:hint="default"/>
        <w:color w:val="auto"/>
        <w:sz w:val="24"/>
      </w:rPr>
    </w:lvl>
    <w:lvl w:ilvl="5">
      <w:start w:val="1"/>
      <w:numFmt w:val="none"/>
      <w:suff w:val="nothing"/>
      <w:lvlJc w:val="left"/>
      <w:pPr>
        <w:tabs>
          <w:tab w:val="num" w:pos="2520"/>
        </w:tabs>
        <w:ind w:left="2520" w:hanging="1080"/>
      </w:pPr>
    </w:lvl>
    <w:lvl w:ilvl="6">
      <w:start w:val="1"/>
      <w:numFmt w:val="none"/>
      <w:suff w:val="nothing"/>
      <w:lvlJc w:val="left"/>
      <w:pPr>
        <w:tabs>
          <w:tab w:val="num" w:pos="2520"/>
        </w:tabs>
        <w:ind w:left="2520" w:hanging="1080"/>
      </w:pPr>
    </w:lvl>
    <w:lvl w:ilvl="7">
      <w:start w:val="1"/>
      <w:numFmt w:val="none"/>
      <w:suff w:val="nothing"/>
      <w:lvlText w:val="%1.%2.%3.%4.%5.%6%7%8."/>
      <w:lvlJc w:val="left"/>
      <w:pPr>
        <w:tabs>
          <w:tab w:val="num" w:pos="4320"/>
        </w:tabs>
        <w:ind w:left="3744" w:hanging="1224"/>
      </w:pPr>
    </w:lvl>
    <w:lvl w:ilvl="8">
      <w:start w:val="1"/>
      <w:numFmt w:val="none"/>
      <w:suff w:val="nothing"/>
      <w:lvlText w:val="%1.%2.%3.%4.%5.%6%7%8%9."/>
      <w:lvlJc w:val="left"/>
      <w:pPr>
        <w:tabs>
          <w:tab w:val="num" w:pos="5040"/>
        </w:tabs>
        <w:ind w:left="4320" w:hanging="1440"/>
      </w:pPr>
    </w:lvl>
  </w:abstractNum>
  <w:abstractNum w:abstractNumId="12">
    <w:nsid w:val="6A26FBEE"/>
    <w:multiLevelType w:val="hybridMultilevel"/>
    <w:tmpl w:val="00000000"/>
    <w:lvl w:ilvl="0">
      <w:start w:val="1"/>
      <w:numFmt w:val="decimal"/>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bullet"/>
      <w:lvlText w:val=""/>
      <w:lvlJc w:val="left"/>
      <w:pPr>
        <w:tabs>
          <w:tab w:val="num" w:pos="2880"/>
        </w:tabs>
        <w:ind w:left="2880" w:hanging="720"/>
      </w:pPr>
      <w:rPr>
        <w:rFonts w:ascii="Symbol" w:hAnsi="Symbol" w:cs="Symbol"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7393C090"/>
    <w:multiLevelType w:val="hybridMultilevel"/>
    <w:tmpl w:val="00000000"/>
    <w:lvl w:ilvl="0">
      <w:start w:val="1"/>
      <w:numFmt w:val="decimal"/>
      <w:lvlText w:val="%1."/>
      <w:lvlJc w:val="left"/>
      <w:pPr>
        <w:tabs>
          <w:tab w:val="num" w:pos="360"/>
        </w:tabs>
        <w:ind w:left="360" w:hanging="360"/>
      </w:pPr>
      <w:rPr>
        <w:b w:val="0"/>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755C57C8"/>
    <w:multiLevelType w:val="hybridMultilevel"/>
    <w:tmpl w:val="00000000"/>
    <w:lvl w:ilvl="0">
      <w:start w:val="2"/>
      <w:numFmt w:val="decimal"/>
      <w:lvlText w:val="%1"/>
      <w:lvlJc w:val="left"/>
      <w:pPr>
        <w:tabs>
          <w:tab w:val="num" w:pos="360"/>
        </w:tabs>
        <w:ind w:left="360" w:hanging="360"/>
      </w:pPr>
    </w:lvl>
    <w:lvl w:ilvl="1">
      <w:start w:val="4"/>
      <w:numFmt w:val="decimal"/>
      <w:lvlText w:val="%1.%2"/>
      <w:lvlJc w:val="left"/>
      <w:pPr>
        <w:tabs>
          <w:tab w:val="num" w:pos="810"/>
        </w:tabs>
        <w:ind w:left="810" w:hanging="720"/>
      </w:pPr>
    </w:lvl>
    <w:lvl w:ilvl="2">
      <w:start w:val="1"/>
      <w:numFmt w:val="decimal"/>
      <w:lvlText w:val="%1.%2.%3"/>
      <w:lvlJc w:val="left"/>
      <w:pPr>
        <w:tabs>
          <w:tab w:val="num" w:pos="900"/>
        </w:tabs>
        <w:ind w:left="900" w:hanging="720"/>
      </w:pPr>
    </w:lvl>
    <w:lvl w:ilvl="3">
      <w:start w:val="1"/>
      <w:numFmt w:val="decimal"/>
      <w:lvlText w:val="%1.%2.%3.%4"/>
      <w:lvlJc w:val="left"/>
      <w:pPr>
        <w:tabs>
          <w:tab w:val="num" w:pos="1350"/>
        </w:tabs>
        <w:ind w:left="1350" w:hanging="1080"/>
      </w:pPr>
    </w:lvl>
    <w:lvl w:ilvl="4">
      <w:start w:val="1"/>
      <w:numFmt w:val="decimal"/>
      <w:lvlText w:val="%1.%2.%3.%4.%5"/>
      <w:lvlJc w:val="left"/>
      <w:pPr>
        <w:tabs>
          <w:tab w:val="num" w:pos="1800"/>
        </w:tabs>
        <w:ind w:left="1800" w:hanging="1440"/>
      </w:pPr>
    </w:lvl>
    <w:lvl w:ilvl="5">
      <w:start w:val="1"/>
      <w:numFmt w:val="decimal"/>
      <w:lvlText w:val="%1.%2.%3.%4.%5.%6"/>
      <w:lvlJc w:val="left"/>
      <w:pPr>
        <w:tabs>
          <w:tab w:val="num" w:pos="1890"/>
        </w:tabs>
        <w:ind w:left="1890" w:hanging="1440"/>
      </w:pPr>
    </w:lvl>
    <w:lvl w:ilvl="6">
      <w:start w:val="1"/>
      <w:numFmt w:val="decimal"/>
      <w:lvlText w:val="%1.%2.%3.%4.%5.%6.%7"/>
      <w:lvlJc w:val="left"/>
      <w:pPr>
        <w:tabs>
          <w:tab w:val="num" w:pos="2340"/>
        </w:tabs>
        <w:ind w:left="2340" w:hanging="1800"/>
      </w:pPr>
    </w:lvl>
    <w:lvl w:ilvl="7">
      <w:start w:val="1"/>
      <w:numFmt w:val="decimal"/>
      <w:lvlText w:val="%1.%2.%3.%4.%5.%6.%7.%8"/>
      <w:lvlJc w:val="left"/>
      <w:pPr>
        <w:tabs>
          <w:tab w:val="num" w:pos="2790"/>
        </w:tabs>
        <w:ind w:left="2790" w:hanging="2160"/>
      </w:pPr>
    </w:lvl>
    <w:lvl w:ilvl="8">
      <w:start w:val="1"/>
      <w:numFmt w:val="decimal"/>
      <w:lvlText w:val="%1.%2.%3.%4.%5.%6.%7.%8.%9"/>
      <w:lvlJc w:val="left"/>
      <w:pPr>
        <w:tabs>
          <w:tab w:val="num" w:pos="2880"/>
        </w:tabs>
        <w:ind w:left="2880" w:hanging="2160"/>
      </w:pPr>
    </w:lvl>
  </w:abstractNum>
  <w:num w:numId="1">
    <w:abstractNumId w:val="8"/>
  </w:num>
  <w:num w:numId="2">
    <w:abstractNumId w:val="6"/>
  </w:num>
  <w:num w:numId="3">
    <w:abstractNumId w:val="9"/>
  </w:num>
  <w:num w:numId="4">
    <w:abstractNumId w:val="1"/>
  </w:num>
  <w:num w:numId="5">
    <w:abstractNumId w:val="12"/>
  </w:num>
  <w:num w:numId="6">
    <w:abstractNumId w:val="4"/>
  </w:num>
  <w:num w:numId="7">
    <w:abstractNumId w:val="5"/>
  </w:num>
  <w:num w:numId="8">
    <w:abstractNumId w:val="0"/>
  </w:num>
  <w:num w:numId="9">
    <w:abstractNumId w:val="11"/>
  </w:num>
  <w:num w:numId="10">
    <w:abstractNumId w:val="10"/>
  </w:num>
  <w:num w:numId="11">
    <w:abstractNumId w:val="3"/>
  </w:num>
  <w:num w:numId="12">
    <w:abstractNumId w:val="7"/>
  </w:num>
  <w:num w:numId="13">
    <w:abstractNumId w:val="2"/>
  </w:num>
  <w:num w:numId="14">
    <w:abstractNumId w:val="1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hyphenationZone w:val="0"/>
  <w:characterSpacingControl w:val="doNotCompress"/>
  <w:compat>
    <w:doNotBreakWrappedTables/>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docVars>
    <w:docVar w:name="MAN_Auto" w:val="1"/>
    <w:docVar w:name="MAN_Brand" w:val="1"/>
    <w:docVar w:name="TikitData" w:val="&lt;tikitTemplateFramework&gt;&lt;document id=&quot;blank&quot;&gt;&lt;userInput&gt;&#10;&#9;&#9;&#9;&lt;set name=&quot;document&quot; key=&quot;document&quot;&gt;&#10;&#9;&#9;&#9;&lt;/set&gt;&#10;&#9;&#9;&lt;/userInput&gt;&#10;&#9;&lt;/document&gt;&lt;/tikitTemplateFramework&gt;&#10;"/>
  </w:docVar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oto Serif CJK SC" w:hAnsi="Liberation Serif" w:cs="Noto Sans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bidi w:val="0"/>
      <w:jc w:val="both"/>
    </w:pPr>
    <w:rPr>
      <w:rFonts w:ascii="Verdana" w:eastAsia="Times New Roman" w:hAnsi="Verdana" w:cs="Verdana"/>
      <w:color w:val="auto"/>
      <w:sz w:val="20"/>
      <w:szCs w:val="20"/>
      <w:lang w:val="en-GB" w:eastAsia="zh-CN" w:bidi="ar-SA"/>
    </w:rPr>
  </w:style>
  <w:style w:type="paragraph" w:styleId="Heading1">
    <w:name w:val="heading 1"/>
    <w:basedOn w:val="NormalManches"/>
    <w:next w:val="BodyText"/>
    <w:qFormat/>
    <w:pPr>
      <w:numPr>
        <w:ilvl w:val="0"/>
        <w:numId w:val="1"/>
      </w:numPr>
      <w:outlineLvl w:val="0"/>
    </w:pPr>
    <w:rPr>
      <w:kern w:val="2"/>
    </w:rPr>
  </w:style>
  <w:style w:type="paragraph" w:styleId="Heading2">
    <w:name w:val="heading 2"/>
    <w:basedOn w:val="NormalManches"/>
    <w:next w:val="BodyText"/>
    <w:qFormat/>
    <w:pPr>
      <w:numPr>
        <w:ilvl w:val="1"/>
        <w:numId w:val="1"/>
      </w:numPr>
      <w:outlineLvl w:val="1"/>
    </w:pPr>
  </w:style>
  <w:style w:type="paragraph" w:styleId="Heading3">
    <w:name w:val="heading 3"/>
    <w:basedOn w:val="NormalManches"/>
    <w:next w:val="BodyText"/>
    <w:qFormat/>
    <w:pPr>
      <w:numPr>
        <w:ilvl w:val="2"/>
        <w:numId w:val="1"/>
      </w:numPr>
      <w:outlineLvl w:val="2"/>
    </w:pPr>
  </w:style>
  <w:style w:type="paragraph" w:styleId="Heading4">
    <w:name w:val="heading 4"/>
    <w:basedOn w:val="NormalManches"/>
    <w:next w:val="BodyText"/>
    <w:qFormat/>
    <w:pPr>
      <w:numPr>
        <w:ilvl w:val="3"/>
        <w:numId w:val="1"/>
      </w:numPr>
      <w:outlineLvl w:val="3"/>
    </w:pPr>
  </w:style>
  <w:style w:type="paragraph" w:styleId="Heading5">
    <w:name w:val="heading 5"/>
    <w:basedOn w:val="NormalManches"/>
    <w:next w:val="BodyText"/>
    <w:qFormat/>
    <w:pPr>
      <w:numPr>
        <w:ilvl w:val="4"/>
        <w:numId w:val="1"/>
      </w:numPr>
      <w:outlineLvl w:val="4"/>
    </w:pPr>
  </w:style>
  <w:style w:type="paragraph" w:styleId="Heading6">
    <w:name w:val="heading 6"/>
    <w:basedOn w:val="NormalManches"/>
    <w:next w:val="BodyText"/>
    <w:qFormat/>
    <w:pPr>
      <w:numPr>
        <w:ilvl w:val="0"/>
        <w:numId w:val="11"/>
      </w:numPr>
      <w:outlineLvl w:val="5"/>
    </w:pPr>
  </w:style>
  <w:style w:type="paragraph" w:styleId="Heading7">
    <w:name w:val="heading 7"/>
    <w:basedOn w:val="NormalManches"/>
    <w:next w:val="BodyText"/>
    <w:qFormat/>
    <w:pPr>
      <w:numPr>
        <w:ilvl w:val="0"/>
        <w:numId w:val="11"/>
      </w:numPr>
      <w:outlineLvl w:val="6"/>
    </w:pPr>
  </w:style>
  <w:style w:type="paragraph" w:styleId="Heading8">
    <w:name w:val="heading 8"/>
    <w:basedOn w:val="NormalManches"/>
    <w:next w:val="Normal"/>
    <w:qFormat/>
    <w:pPr>
      <w:spacing w:before="240" w:after="60"/>
      <w:ind w:left="0" w:right="0" w:firstLine="0"/>
      <w:outlineLvl w:val="7"/>
    </w:pPr>
    <w:rPr>
      <w:i/>
    </w:rPr>
  </w:style>
  <w:style w:type="paragraph" w:styleId="Heading9">
    <w:name w:val="heading 9"/>
    <w:basedOn w:val="NormalManches"/>
    <w:next w:val="Normal"/>
    <w:qFormat/>
    <w:pPr>
      <w:spacing w:before="240" w:after="60"/>
      <w:ind w:left="0" w:right="0" w:firstLine="0"/>
      <w:outlineLvl w:val="8"/>
    </w:pPr>
  </w:style>
  <w:style w:type="character" w:default="1" w:styleId="DefaultParagraphFont">
    <w:name w:val="Default Paragraph Font"/>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WW8Num1z0">
    <w:name w:val="WW8Num1z0"/>
    <w:qFormat/>
  </w:style>
  <w:style w:type="character" w:customStyle="1" w:styleId="WW8Num3z0">
    <w:name w:val="WW8Num3z0"/>
    <w:qFormat/>
    <w:rPr>
      <w:rFonts w:ascii="Book Antiqua" w:hAnsi="Book Antiqua" w:cs="Book Antiqua"/>
      <w:sz w:val="24"/>
    </w:rPr>
  </w:style>
  <w:style w:type="character" w:customStyle="1" w:styleId="WW8Num3z3">
    <w:name w:val="WW8Num3z3"/>
    <w:qFormat/>
    <w:rPr>
      <w:rFonts w:ascii="Symbol" w:hAnsi="Symbol" w:cs="Symbol"/>
      <w:color w:val="auto"/>
      <w:sz w:val="24"/>
    </w:rPr>
  </w:style>
  <w:style w:type="character" w:customStyle="1" w:styleId="WW8Num3z5">
    <w:name w:val="WW8Num3z5"/>
    <w:qFormat/>
  </w:style>
  <w:style w:type="character" w:customStyle="1" w:styleId="WW8Num4z0">
    <w:name w:val="WW8Num4z0"/>
    <w:qFormat/>
    <w:rPr>
      <w:b w:val="0"/>
    </w:rPr>
  </w:style>
  <w:style w:type="character" w:customStyle="1" w:styleId="WW8Num4z1">
    <w:name w:val="WW8Num4z1"/>
    <w:qFormat/>
  </w:style>
  <w:style w:type="character" w:customStyle="1" w:styleId="WW8Num5z0">
    <w:name w:val="WW8Num5z0"/>
    <w:qFormat/>
  </w:style>
  <w:style w:type="character" w:customStyle="1" w:styleId="WW8Num6z3">
    <w:name w:val="WW8Num6z3"/>
    <w:qFormat/>
    <w:rPr>
      <w:rFonts w:ascii="Symbol" w:hAnsi="Symbol" w:cs="Symbol"/>
      <w:color w:val="auto"/>
    </w:rPr>
  </w:style>
  <w:style w:type="character" w:customStyle="1" w:styleId="WW8Num7z0">
    <w:name w:val="WW8Num7z0"/>
    <w:qFormat/>
  </w:style>
  <w:style w:type="character" w:customStyle="1" w:styleId="WW8Num8z0">
    <w:name w:val="WW8Num8z0"/>
    <w:qFormat/>
  </w:style>
  <w:style w:type="character" w:customStyle="1" w:styleId="WW8Num9z0">
    <w:name w:val="WW8Num9z0"/>
    <w:qFormat/>
  </w:style>
  <w:style w:type="character" w:customStyle="1" w:styleId="WW8Num10z0">
    <w:name w:val="WW8Num10z0"/>
    <w:qFormat/>
    <w:rPr>
      <w:b/>
    </w:rPr>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Book Antiqua" w:hAnsi="Book Antiqua" w:cs="Book Antiqua"/>
      <w:sz w:val="24"/>
    </w:rPr>
  </w:style>
  <w:style w:type="character" w:customStyle="1" w:styleId="WW8Num13z3">
    <w:name w:val="WW8Num13z3"/>
    <w:qFormat/>
    <w:rPr>
      <w:rFonts w:ascii="Symbol" w:hAnsi="Symbol" w:cs="Symbol"/>
      <w:color w:val="auto"/>
      <w:sz w:val="24"/>
    </w:rPr>
  </w:style>
  <w:style w:type="character" w:customStyle="1" w:styleId="WW8Num13z5">
    <w:name w:val="WW8Num13z5"/>
    <w:qFormat/>
  </w:style>
  <w:style w:type="character" w:customStyle="1" w:styleId="WW8Num14z0">
    <w:name w:val="WW8Num14z0"/>
    <w:qFormat/>
  </w:style>
  <w:style w:type="character" w:customStyle="1" w:styleId="WW8Num15z0">
    <w:name w:val="WW8Num15z0"/>
    <w:qFormat/>
    <w:rPr>
      <w:b w:val="0"/>
    </w:rPr>
  </w:style>
  <w:style w:type="character" w:customStyle="1" w:styleId="WW8Num15z1">
    <w:name w:val="WW8Num15z1"/>
    <w:qFormat/>
  </w:style>
  <w:style w:type="character" w:customStyle="1" w:styleId="WW8Num16z0">
    <w:name w:val="WW8Num16z0"/>
    <w:qFormat/>
    <w:rPr>
      <w:rFonts w:ascii="Verdana" w:hAnsi="Verdana" w:cs="Verdana"/>
      <w:b w:val="0"/>
      <w:i w:val="0"/>
      <w:sz w:val="20"/>
      <w:u w:val="none"/>
    </w:rPr>
  </w:style>
  <w:style w:type="character" w:customStyle="1" w:styleId="WW8Num16z1">
    <w:name w:val="WW8Num16z1"/>
    <w:qFormat/>
    <w:rPr>
      <w:rFonts w:ascii="Verdana" w:hAnsi="Verdana" w:cs="Verdana"/>
      <w:sz w:val="20"/>
    </w:rPr>
  </w:style>
  <w:style w:type="character" w:customStyle="1" w:styleId="WW8Num16z5">
    <w:name w:val="WW8Num16z5"/>
    <w:qFormat/>
    <w:rPr>
      <w:rFonts w:ascii="Symbol" w:hAnsi="Symbol" w:cs="Symbol"/>
      <w:color w:val="auto"/>
      <w:sz w:val="24"/>
    </w:rPr>
  </w:style>
  <w:style w:type="character" w:customStyle="1" w:styleId="WW8Num16z6">
    <w:name w:val="WW8Num16z6"/>
    <w:qFormat/>
    <w:rPr>
      <w:rFonts w:ascii="Book Antiqua" w:hAnsi="Book Antiqua" w:cs="Book Antiqua"/>
      <w:color w:val="auto"/>
      <w:sz w:val="24"/>
    </w:rPr>
  </w:style>
  <w:style w:type="character" w:customStyle="1" w:styleId="WW8Num17z0">
    <w:name w:val="WW8Num17z0"/>
    <w:qFormat/>
    <w:rPr>
      <w:rFonts w:ascii="Book Antiqua" w:hAnsi="Book Antiqua" w:cs="Book Antiqua"/>
      <w:sz w:val="24"/>
    </w:rPr>
  </w:style>
  <w:style w:type="character" w:customStyle="1" w:styleId="WW8Num17z3">
    <w:name w:val="WW8Num17z3"/>
    <w:qFormat/>
    <w:rPr>
      <w:rFonts w:ascii="Symbol" w:hAnsi="Symbol" w:cs="Symbol"/>
      <w:color w:val="auto"/>
      <w:sz w:val="24"/>
    </w:rPr>
  </w:style>
  <w:style w:type="character" w:customStyle="1" w:styleId="WW8Num17z5">
    <w:name w:val="WW8Num17z5"/>
    <w:qFormat/>
  </w:style>
  <w:style w:type="character" w:customStyle="1" w:styleId="WW8Num18z0">
    <w:name w:val="WW8Num18z0"/>
    <w:qFormat/>
  </w:style>
  <w:style w:type="character" w:customStyle="1" w:styleId="WW8Num19z0">
    <w:name w:val="WW8Num19z0"/>
    <w:qFormat/>
    <w:rPr>
      <w:rFonts w:ascii="Book Antiqua" w:hAnsi="Book Antiqua" w:cs="Book Antiqua"/>
      <w:sz w:val="24"/>
    </w:rPr>
  </w:style>
  <w:style w:type="character" w:customStyle="1" w:styleId="WW8Num19z1">
    <w:name w:val="WW8Num19z1"/>
    <w:qFormat/>
    <w:rPr>
      <w:rFonts w:ascii="Verdana" w:hAnsi="Verdana" w:cs="Verdana"/>
      <w:b w:val="0"/>
      <w:i w:val="0"/>
      <w:color w:val="auto"/>
      <w:sz w:val="20"/>
    </w:rPr>
  </w:style>
  <w:style w:type="character" w:customStyle="1" w:styleId="WW8Num19z2">
    <w:name w:val="WW8Num19z2"/>
    <w:qFormat/>
    <w:rPr>
      <w:rFonts w:ascii="Verdana" w:hAnsi="Verdana" w:cs="Verdana"/>
      <w:b w:val="0"/>
      <w:i w:val="0"/>
      <w:sz w:val="20"/>
    </w:rPr>
  </w:style>
  <w:style w:type="character" w:customStyle="1" w:styleId="WW8Num19z5">
    <w:name w:val="WW8Num19z5"/>
    <w:qFormat/>
    <w:rPr>
      <w:rFonts w:ascii="Symbol" w:hAnsi="Symbol" w:cs="Symbol"/>
      <w:color w:val="auto"/>
      <w:sz w:val="24"/>
    </w:rPr>
  </w:style>
  <w:style w:type="character" w:customStyle="1" w:styleId="WW8Num19z6">
    <w:name w:val="WW8Num19z6"/>
    <w:qFormat/>
    <w:rPr>
      <w:rFonts w:ascii="Book Antiqua" w:hAnsi="Book Antiqua" w:cs="Book Antiqua"/>
      <w:color w:val="auto"/>
      <w:sz w:val="24"/>
    </w:rPr>
  </w:style>
  <w:style w:type="character" w:customStyle="1" w:styleId="WW8Num20z0">
    <w:name w:val="WW8Num20z0"/>
    <w:qFormat/>
  </w:style>
  <w:style w:type="character" w:customStyle="1" w:styleId="WW8Num21z0">
    <w:name w:val="WW8Num21z0"/>
    <w:qFormat/>
  </w:style>
  <w:style w:type="character" w:customStyle="1" w:styleId="WW8Num22z0">
    <w:name w:val="WW8Num22z0"/>
    <w:qFormat/>
  </w:style>
  <w:style w:type="character" w:customStyle="1" w:styleId="WW8Num23z0">
    <w:name w:val="WW8Num23z0"/>
    <w:qFormat/>
    <w:rPr>
      <w:b w:val="0"/>
    </w:rPr>
  </w:style>
  <w:style w:type="character" w:customStyle="1" w:styleId="WW8Num24z0">
    <w:name w:val="WW8Num24z0"/>
    <w:qFormat/>
  </w:style>
  <w:style w:type="character" w:styleId="PageNumber">
    <w:name w:val="page number"/>
    <w:basedOn w:val="DefaultParagraphFont"/>
  </w:style>
  <w:style w:type="character" w:customStyle="1" w:styleId="CommentReference">
    <w:name w:val="Comment Reference"/>
    <w:qFormat/>
    <w:rPr>
      <w:sz w:val="16"/>
      <w:szCs w:val="16"/>
    </w:rPr>
  </w:style>
  <w:style w:type="character" w:styleId="Emphasis">
    <w:name w:val="Emphasis"/>
    <w:qFormat/>
    <w:rPr>
      <w:i/>
    </w:rPr>
  </w:style>
  <w:style w:type="character" w:styleId="Hyperlink">
    <w:name w:val="Hyperlink"/>
    <w:rPr>
      <w:color w:val="0000FF"/>
      <w:u w:val="single"/>
    </w:rPr>
  </w:style>
  <w:style w:type="paragraph" w:customStyle="1" w:styleId="Heading">
    <w:name w:val="Heading"/>
    <w:basedOn w:val="Normal"/>
    <w:next w:val="BodyText"/>
    <w:qFormat/>
    <w:pPr>
      <w:jc w:val="center"/>
    </w:pPr>
    <w:rPr>
      <w:rFonts w:ascii="Arial" w:hAnsi="Arial" w:cs="Arial"/>
      <w:b/>
      <w:spacing w:val="40"/>
      <w:lang w:val="en-US"/>
    </w:rPr>
  </w:style>
  <w:style w:type="paragraph" w:styleId="BodyText">
    <w:name w:val="Body Text"/>
    <w:basedOn w:val="Normal"/>
    <w:pPr>
      <w:ind w:left="720" w:right="0" w:firstLine="0"/>
    </w:pPr>
  </w:style>
  <w:style w:type="paragraph" w:styleId="List">
    <w:name w:val="List"/>
    <w:basedOn w:val="BodyText"/>
    <w:rPr>
      <w:rFonts w:cs="Noto Sans Devanagari"/>
    </w:rPr>
  </w:style>
  <w:style w:type="paragraph" w:styleId="Caption">
    <w:name w:val="caption"/>
    <w:basedOn w:val="Normal"/>
    <w:next w:val="Normal"/>
    <w:qFormat/>
    <w:pPr>
      <w:spacing w:before="120" w:after="120"/>
    </w:pPr>
    <w:rPr>
      <w:b/>
    </w:rPr>
  </w:style>
  <w:style w:type="paragraph" w:customStyle="1" w:styleId="Index">
    <w:name w:val="Index"/>
    <w:basedOn w:val="Normal"/>
    <w:qFormat/>
    <w:pPr>
      <w:suppressLineNumbers/>
    </w:pPr>
    <w:rPr>
      <w:rFonts w:cs="Noto Sans Devanagari"/>
    </w:rPr>
  </w:style>
  <w:style w:type="paragraph" w:customStyle="1" w:styleId="NormalManches">
    <w:name w:val="NormalManches"/>
    <w:qFormat/>
    <w:pPr>
      <w:widowControl/>
      <w:bidi w:val="0"/>
      <w:jc w:val="both"/>
    </w:pPr>
    <w:rPr>
      <w:rFonts w:ascii="Verdana" w:eastAsia="Times New Roman" w:hAnsi="Verdana" w:cs="Verdana"/>
      <w:color w:val="auto"/>
      <w:sz w:val="20"/>
      <w:szCs w:val="20"/>
      <w:lang w:val="en-GB" w:eastAsia="zh-CN" w:bidi="ar-SA"/>
    </w:rPr>
  </w:style>
  <w:style w:type="paragraph" w:styleId="Index6">
    <w:name w:val="index 6"/>
    <w:basedOn w:val="Normal"/>
    <w:next w:val="Normal"/>
    <w:qFormat/>
    <w:pPr>
      <w:ind w:left="1320" w:right="0" w:hanging="220"/>
    </w:pPr>
  </w:style>
  <w:style w:type="paragraph" w:customStyle="1" w:styleId="HeaderandFooter">
    <w:name w:val="Header and Footer"/>
    <w:basedOn w:val="Normal"/>
    <w:qFormat/>
    <w:pPr>
      <w:suppressLineNumbers/>
      <w:tabs>
        <w:tab w:val="clear" w:pos="720"/>
        <w:tab w:val="center" w:pos="4986"/>
        <w:tab w:val="right" w:pos="9972"/>
      </w:tabs>
    </w:pPr>
  </w:style>
  <w:style w:type="paragraph" w:styleId="Header">
    <w:name w:val="header"/>
    <w:basedOn w:val="Normal"/>
    <w:pPr>
      <w:tabs>
        <w:tab w:val="clear" w:pos="720"/>
        <w:tab w:val="center" w:pos="4320"/>
        <w:tab w:val="right" w:pos="8640"/>
      </w:tabs>
      <w:jc w:val="both"/>
    </w:pPr>
    <w:rPr>
      <w:rFonts w:ascii="Book Antiqua" w:hAnsi="Book Antiqua" w:cs="Book Antiqua"/>
      <w:sz w:val="24"/>
    </w:rPr>
  </w:style>
  <w:style w:type="paragraph" w:styleId="Footer">
    <w:name w:val="footer"/>
    <w:basedOn w:val="Normal"/>
    <w:pPr>
      <w:tabs>
        <w:tab w:val="clear" w:pos="720"/>
        <w:tab w:val="center" w:pos="4320"/>
        <w:tab w:val="right" w:pos="8640"/>
      </w:tabs>
      <w:jc w:val="both"/>
    </w:pPr>
  </w:style>
  <w:style w:type="paragraph" w:styleId="EnvelopeAddress">
    <w:name w:val="envelope address"/>
    <w:basedOn w:val="Normal"/>
    <w:pPr>
      <w:ind w:left="2880" w:right="0" w:firstLine="0"/>
    </w:pPr>
  </w:style>
  <w:style w:type="paragraph" w:styleId="BodyText2">
    <w:name w:val="Body Text 2"/>
    <w:basedOn w:val="Normal"/>
    <w:qFormat/>
    <w:pPr>
      <w:ind w:left="1440" w:right="0" w:firstLine="0"/>
    </w:pPr>
  </w:style>
  <w:style w:type="paragraph" w:styleId="BodyText3">
    <w:name w:val="Body Text 3"/>
    <w:basedOn w:val="Normal"/>
    <w:qFormat/>
    <w:pPr>
      <w:ind w:left="2520" w:right="0" w:firstLine="0"/>
    </w:pPr>
  </w:style>
  <w:style w:type="paragraph" w:customStyle="1" w:styleId="BodyText4">
    <w:name w:val="Body Text 4"/>
    <w:basedOn w:val="Heading4"/>
    <w:qFormat/>
    <w:pPr>
      <w:numPr>
        <w:ilvl w:val="0"/>
        <w:numId w:val="0"/>
      </w:numPr>
      <w:ind w:left="2520" w:right="0" w:firstLine="0"/>
      <w:outlineLvl w:val="9"/>
    </w:pPr>
  </w:style>
  <w:style w:type="paragraph" w:customStyle="1" w:styleId="BodyText5">
    <w:name w:val="Body Text 5"/>
    <w:basedOn w:val="BodyText4"/>
    <w:qFormat/>
  </w:style>
  <w:style w:type="paragraph" w:customStyle="1" w:styleId="BodyText6">
    <w:name w:val="Body Text 6"/>
    <w:basedOn w:val="BodyText5"/>
    <w:qFormat/>
  </w:style>
  <w:style w:type="paragraph" w:customStyle="1" w:styleId="BodyText7">
    <w:name w:val="Body Text 7"/>
    <w:basedOn w:val="BodyText6"/>
    <w:qFormat/>
  </w:style>
  <w:style w:type="paragraph" w:customStyle="1" w:styleId="Para1">
    <w:name w:val="Para1"/>
    <w:basedOn w:val="Normal"/>
    <w:qFormat/>
    <w:pPr>
      <w:numPr>
        <w:ilvl w:val="0"/>
        <w:numId w:val="8"/>
      </w:numPr>
      <w:spacing w:before="120" w:after="0"/>
    </w:pPr>
  </w:style>
  <w:style w:type="paragraph" w:customStyle="1" w:styleId="para2">
    <w:name w:val="para2"/>
    <w:basedOn w:val="Normal"/>
    <w:qFormat/>
    <w:pPr>
      <w:numPr>
        <w:ilvl w:val="0"/>
        <w:numId w:val="9"/>
      </w:numPr>
    </w:pPr>
  </w:style>
  <w:style w:type="paragraph" w:customStyle="1" w:styleId="para3">
    <w:name w:val="para3"/>
    <w:basedOn w:val="Normal"/>
    <w:qFormat/>
    <w:pPr>
      <w:numPr>
        <w:ilvl w:val="0"/>
        <w:numId w:val="3"/>
      </w:numPr>
    </w:pPr>
  </w:style>
  <w:style w:type="paragraph" w:customStyle="1" w:styleId="para4">
    <w:name w:val="para4"/>
    <w:basedOn w:val="para2"/>
    <w:qFormat/>
    <w:pPr>
      <w:tabs>
        <w:tab w:val="num" w:pos="720"/>
      </w:tabs>
      <w:ind w:left="720" w:hanging="720"/>
    </w:pPr>
  </w:style>
  <w:style w:type="paragraph" w:customStyle="1" w:styleId="para5">
    <w:name w:val="para5"/>
    <w:basedOn w:val="para2"/>
    <w:qFormat/>
    <w:pPr>
      <w:tabs>
        <w:tab w:val="num" w:pos="720"/>
      </w:tabs>
      <w:ind w:left="720" w:hanging="720"/>
    </w:pPr>
  </w:style>
  <w:style w:type="paragraph" w:styleId="EnvelopeReturn">
    <w:name w:val="envelope return"/>
    <w:basedOn w:val="Normal"/>
  </w:style>
  <w:style w:type="paragraph" w:styleId="TOC1">
    <w:name w:val="toc 1"/>
    <w:basedOn w:val="Normal"/>
    <w:next w:val="Normal"/>
    <w:pPr>
      <w:tabs>
        <w:tab w:val="left" w:pos="720"/>
        <w:tab w:val="right" w:leader="dot" w:pos="8928"/>
      </w:tabs>
    </w:pPr>
  </w:style>
  <w:style w:type="paragraph" w:styleId="TOC2">
    <w:name w:val="toc 2"/>
    <w:basedOn w:val="Normal"/>
    <w:next w:val="Normal"/>
    <w:pPr>
      <w:tabs>
        <w:tab w:val="clear" w:pos="720"/>
        <w:tab w:val="left" w:pos="1872"/>
        <w:tab w:val="right" w:leader="dot" w:pos="8928"/>
      </w:tabs>
      <w:ind w:left="720" w:right="0" w:firstLine="0"/>
    </w:pPr>
    <w:rPr>
      <w:lang w:val="en-US" w:eastAsia="en-US"/>
    </w:rPr>
  </w:style>
  <w:style w:type="paragraph" w:styleId="TOC3">
    <w:name w:val="toc 3"/>
    <w:basedOn w:val="Normal"/>
    <w:next w:val="Normal"/>
    <w:pPr>
      <w:tabs>
        <w:tab w:val="clear" w:pos="720"/>
        <w:tab w:val="left" w:pos="3312"/>
        <w:tab w:val="right" w:leader="dot" w:pos="8928"/>
      </w:tabs>
      <w:ind w:left="1872" w:right="0" w:firstLine="0"/>
    </w:pPr>
    <w:rPr>
      <w:lang w:val="en-US" w:eastAsia="en-US"/>
    </w:rPr>
  </w:style>
  <w:style w:type="paragraph" w:customStyle="1" w:styleId="NormalBoldManches">
    <w:name w:val="NormalBoldManches"/>
    <w:basedOn w:val="NormalManches"/>
    <w:qFormat/>
    <w:rPr>
      <w:b/>
    </w:rPr>
  </w:style>
  <w:style w:type="paragraph" w:customStyle="1" w:styleId="NormalGSManches">
    <w:name w:val="NormalGSManches"/>
    <w:basedOn w:val="Normal"/>
    <w:qFormat/>
    <w:pPr>
      <w:ind w:left="0" w:right="0" w:firstLine="0"/>
      <w:jc w:val="both"/>
    </w:pPr>
    <w:rPr>
      <w:rFonts w:ascii="Gill Sans Std Light" w:hAnsi="Gill Sans Std Light" w:cs="Gill Sans Std Light"/>
      <w:sz w:val="18"/>
    </w:rPr>
  </w:style>
  <w:style w:type="paragraph" w:customStyle="1" w:styleId="NormalGS65Manches">
    <w:name w:val="NormalGS65Manches"/>
    <w:basedOn w:val="NormalGSManches"/>
    <w:qFormat/>
    <w:rPr>
      <w:sz w:val="13"/>
    </w:rPr>
  </w:style>
  <w:style w:type="paragraph" w:styleId="BalloonText">
    <w:name w:val="Balloon Text"/>
    <w:basedOn w:val="Normal"/>
    <w:qFormat/>
    <w:rPr>
      <w:rFonts w:ascii="Tahoma" w:hAnsi="Tahoma" w:cs="Tahoma"/>
      <w:sz w:val="16"/>
    </w:rPr>
  </w:style>
  <w:style w:type="paragraph" w:styleId="BodyTextFirstIndent">
    <w:name w:val="Body Text First Indent"/>
    <w:basedOn w:val="BodyText"/>
    <w:qFormat/>
    <w:pPr>
      <w:ind w:left="720" w:right="0" w:firstLine="210"/>
    </w:pPr>
  </w:style>
  <w:style w:type="paragraph" w:styleId="BodyTextIndent">
    <w:name w:val="Body Text Indent"/>
    <w:basedOn w:val="Normal"/>
    <w:pPr>
      <w:widowControl w:val="0"/>
      <w:tabs>
        <w:tab w:val="left" w:pos="720"/>
        <w:tab w:val="right" w:pos="8784"/>
        <w:tab w:val="right" w:pos="10368"/>
        <w:tab w:val="right" w:pos="10944"/>
      </w:tabs>
      <w:ind w:left="720" w:right="0" w:hanging="720"/>
      <w:jc w:val="both"/>
    </w:pPr>
    <w:rPr>
      <w:rFonts w:ascii="Book Antiqua" w:hAnsi="Book Antiqua" w:cs="Book Antiqua"/>
      <w:sz w:val="24"/>
      <w:lang w:val="en-US"/>
    </w:rPr>
  </w:style>
  <w:style w:type="paragraph" w:styleId="BodyTextFirstIndent2">
    <w:name w:val="Body Text First Indent 2"/>
    <w:basedOn w:val="BodyTextIndent"/>
    <w:qFormat/>
    <w:pPr>
      <w:ind w:left="720" w:right="0" w:firstLine="210"/>
    </w:pPr>
  </w:style>
  <w:style w:type="paragraph" w:styleId="BodyTextIndent2">
    <w:name w:val="Body Text Indent 2"/>
    <w:basedOn w:val="Normal"/>
    <w:qFormat/>
    <w:pPr>
      <w:ind w:left="720" w:right="0" w:firstLine="0"/>
      <w:jc w:val="both"/>
    </w:pPr>
  </w:style>
  <w:style w:type="paragraph" w:styleId="BodyTextIndent3">
    <w:name w:val="Body Text Indent 3"/>
    <w:basedOn w:val="Normal"/>
    <w:qFormat/>
    <w:pPr>
      <w:ind w:left="1691" w:right="0" w:firstLine="0"/>
      <w:jc w:val="both"/>
    </w:pPr>
  </w:style>
  <w:style w:type="paragraph" w:styleId="Closing">
    <w:name w:val="Closing"/>
    <w:basedOn w:val="NormalManches"/>
    <w:qFormat/>
    <w:pPr>
      <w:ind w:left="4252" w:right="0" w:firstLine="0"/>
    </w:pPr>
  </w:style>
  <w:style w:type="paragraph" w:customStyle="1" w:styleId="CommentText">
    <w:name w:val="Comment Text"/>
    <w:basedOn w:val="Normal"/>
    <w:qFormat/>
  </w:style>
  <w:style w:type="paragraph" w:customStyle="1" w:styleId="CommentSubject">
    <w:name w:val="Comment Subject"/>
    <w:basedOn w:val="CommentText"/>
    <w:next w:val="CommentText"/>
    <w:qFormat/>
    <w:rPr>
      <w:b/>
    </w:rPr>
  </w:style>
  <w:style w:type="paragraph" w:styleId="Date">
    <w:name w:val="Date"/>
    <w:basedOn w:val="NormalManches"/>
    <w:next w:val="NormalManches"/>
    <w:qFormat/>
  </w:style>
  <w:style w:type="paragraph" w:styleId="DocumentMap">
    <w:name w:val="Document Map"/>
    <w:basedOn w:val="Normal"/>
    <w:qFormat/>
    <w:pPr>
      <w:shd w:val="clear" w:color="auto" w:fill="000080"/>
    </w:pPr>
    <w:rPr>
      <w:rFonts w:ascii="Tahoma" w:hAnsi="Tahoma" w:cs="Tahoma"/>
    </w:rPr>
  </w:style>
  <w:style w:type="paragraph" w:styleId="E-mailSignature">
    <w:name w:val="E-mail Signature"/>
    <w:basedOn w:val="NormalManches"/>
    <w:qFormat/>
  </w:style>
  <w:style w:type="paragraph" w:styleId="Subtitle">
    <w:name w:val="Subtitle"/>
    <w:basedOn w:val="Normal"/>
    <w:next w:val="BodyText"/>
    <w:qFormat/>
    <w:pPr>
      <w:jc w:val="center"/>
    </w:pPr>
    <w:rPr>
      <w:rFonts w:ascii="Times New Roman" w:hAnsi="Times New Roman" w:cs="Times New Roman"/>
      <w:b/>
      <w:u w:val="single"/>
    </w:rPr>
  </w:style>
  <w:style w:type="paragraph" w:customStyle="1" w:styleId="Legal1">
    <w:name w:val="Legal1"/>
    <w:basedOn w:val="Normal"/>
    <w:qFormat/>
    <w:pPr>
      <w:numPr>
        <w:ilvl w:val="0"/>
        <w:numId w:val="2"/>
      </w:numPr>
      <w:spacing w:line="360" w:lineRule="auto"/>
    </w:pPr>
  </w:style>
  <w:style w:type="paragraph" w:customStyle="1" w:styleId="Legal2">
    <w:name w:val="Legal2"/>
    <w:basedOn w:val="Normal"/>
    <w:qFormat/>
    <w:pPr>
      <w:tabs>
        <w:tab w:val="num" w:pos="720"/>
      </w:tabs>
      <w:spacing w:line="360" w:lineRule="auto"/>
      <w:ind w:left="720" w:hanging="720"/>
    </w:pPr>
  </w:style>
  <w:style w:type="paragraph" w:customStyle="1" w:styleId="Legal3">
    <w:name w:val="Legal3"/>
    <w:basedOn w:val="Normal"/>
    <w:qFormat/>
    <w:pPr>
      <w:tabs>
        <w:tab w:val="num" w:pos="720"/>
      </w:tabs>
      <w:spacing w:line="360" w:lineRule="auto"/>
      <w:ind w:left="720" w:hanging="720"/>
    </w:pPr>
  </w:style>
  <w:style w:type="paragraph" w:customStyle="1" w:styleId="Legal4">
    <w:name w:val="Legal4"/>
    <w:basedOn w:val="Normal"/>
    <w:qFormat/>
    <w:pPr>
      <w:tabs>
        <w:tab w:val="num" w:pos="720"/>
      </w:tabs>
      <w:spacing w:line="360" w:lineRule="auto"/>
      <w:ind w:left="720" w:hanging="720"/>
    </w:pPr>
  </w:style>
  <w:style w:type="paragraph" w:customStyle="1" w:styleId="Para10">
    <w:name w:val="Para 1"/>
    <w:basedOn w:val="Normal"/>
    <w:qFormat/>
    <w:pPr>
      <w:numPr>
        <w:ilvl w:val="0"/>
        <w:numId w:val="5"/>
      </w:numPr>
      <w:spacing w:line="360" w:lineRule="auto"/>
    </w:pPr>
  </w:style>
  <w:style w:type="paragraph" w:customStyle="1" w:styleId="Para20">
    <w:name w:val="Para 2"/>
    <w:basedOn w:val="Normal"/>
    <w:qFormat/>
    <w:pPr>
      <w:tabs>
        <w:tab w:val="num" w:pos="720"/>
      </w:tabs>
      <w:spacing w:line="360" w:lineRule="auto"/>
      <w:ind w:left="720" w:hanging="720"/>
    </w:pPr>
  </w:style>
  <w:style w:type="paragraph" w:customStyle="1" w:styleId="Para30">
    <w:name w:val="Para 3"/>
    <w:basedOn w:val="Normal"/>
    <w:qFormat/>
    <w:pPr>
      <w:tabs>
        <w:tab w:val="num" w:pos="720"/>
      </w:tabs>
      <w:spacing w:line="360" w:lineRule="auto"/>
      <w:ind w:left="720" w:hanging="720"/>
    </w:pPr>
  </w:style>
  <w:style w:type="paragraph" w:customStyle="1" w:styleId="Para40">
    <w:name w:val="Para 4"/>
    <w:basedOn w:val="Normal"/>
    <w:qFormat/>
    <w:pPr>
      <w:tabs>
        <w:tab w:val="num" w:pos="720"/>
      </w:tabs>
      <w:spacing w:line="360" w:lineRule="auto"/>
      <w:ind w:left="720" w:hanging="720"/>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suppressLineNumbers/>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ManchesBlank</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CZR/136025/224213</dc:title>
  <dc:subject>LAMBERT REVIEW</dc:subject>
  <dc:creator>Christine Reid</dc:creator>
  <cp:keywords>678433/1</cp:keywords>
  <dc:description>DTI</dc:description>
  <cp:lastModifiedBy>Andrew Rees</cp:lastModifiedBy>
  <cp:revision>2</cp:revision>
  <cp:lastPrinted>2005-11-01T18:02:00Z</cp:lastPrinted>
  <dcterms:created xsi:type="dcterms:W3CDTF">2016-09-07T23:46:00Z</dcterms:created>
  <dcterms:modified xsi:type="dcterms:W3CDTF">2016-09-07T23:46:00Z</dcterms:modified>
  <dc:language>en-US</dc:language>
</cp:coreProperties>
</file>