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color w:val="FF0000"/>
        </w:rPr>
      </w:pPr>
      <w:r>
        <w:rPr>
          <w:b/>
          <w:color w:val="FF0000"/>
        </w:rPr>
      </w:r>
    </w:p>
    <w:p>
      <w:pPr>
        <w:pStyle w:val="Normal"/>
        <w:jc w:val="center"/>
        <w:rPr>
          <w:b/>
          <w:color w:val="FF0000"/>
        </w:rPr>
      </w:pPr>
      <w:r>
        <w:rPr>
          <w:b/>
          <w:color w:val="FF0000"/>
        </w:rPr>
      </w:r>
    </w:p>
    <w:p>
      <w:pPr>
        <w:pStyle w:val="Normal"/>
        <w:jc w:val="center"/>
        <w:rPr/>
      </w:pPr>
      <w:r>
        <w:rPr/>
        <w:t xml:space="preserve">Dated </w:t>
      </w:r>
      <w:r>
        <w:rPr>
          <w:u w:val="single"/>
        </w:rPr>
        <w:t xml:space="preserve">12 October 2026</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 xml:space="preserve">(1) </w:t>
      </w:r>
      <w:r>
        <w:rPr>
          <w:b/>
        </w:rPr>
        <w:t xml:space="preserve">The University of Kingsmere</w:t>
      </w:r>
    </w:p>
    <w:p>
      <w:pPr>
        <w:pStyle w:val="Normal"/>
        <w:jc w:val="center"/>
        <w:rPr>
          <w:b/>
        </w:rPr>
      </w:pPr>
      <w:r>
        <w:rPr>
          <w:b/>
        </w:rPr>
      </w:r>
    </w:p>
    <w:p>
      <w:pPr>
        <w:pStyle w:val="Normal"/>
        <w:jc w:val="center"/>
        <w:rPr/>
      </w:pPr>
      <w:r>
        <w:rPr/>
      </w:r>
    </w:p>
    <w:p>
      <w:pPr>
        <w:pStyle w:val="Normal"/>
        <w:jc w:val="center"/>
        <w:rPr/>
      </w:pPr>
      <w:r>
        <w:rPr/>
      </w:r>
    </w:p>
    <w:p>
      <w:pPr>
        <w:pStyle w:val="Normal"/>
        <w:jc w:val="center"/>
        <w:rPr/>
      </w:pPr>
      <w:r>
        <w:rPr/>
        <w:t xml:space="preserve">(2) </w:t>
      </w:r>
      <w:r>
        <w:rPr>
          <w:b/>
        </w:rPr>
        <w:t xml:space="preserve">Halcyon Photonics Limited</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rPr>
      </w:pPr>
      <w:r>
        <w:rPr>
          <w:b/>
        </w:rPr>
        <w:t>NON-DISCLOSURE AGREEMENT</w:t>
      </w:r>
    </w:p>
    <w:p>
      <w:pPr>
        <w:pStyle w:val="Normal"/>
        <w:jc w:val="center"/>
        <w:rPr>
          <w:b/>
        </w:rPr>
      </w:pPr>
      <w:r>
        <w:rPr>
          <w:b/>
        </w:rPr>
      </w:r>
    </w:p>
    <w:p>
      <w:pPr>
        <w:pStyle w:val="Normal"/>
        <w:rPr>
          <w:b/>
        </w:rPr>
      </w:pPr>
      <w:r>
        <w:rPr>
          <w:b/>
        </w:rPr>
      </w:r>
    </w:p>
    <w:p>
      <w:pPr>
        <w:pStyle w:val="Normal"/>
        <w:rPr>
          <w:b/>
        </w:rPr>
      </w:pPr>
      <w:r>
        <w:rPr>
          <w:b/>
        </w:rPr>
      </w:r>
    </w:p>
    <w:p>
      <w:pPr>
        <w:pStyle w:val="Normal"/>
        <w:rPr>
          <w:b/>
        </w:rPr>
      </w:pPr>
      <w:r>
        <w:rPr>
          <w:b/>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b/>
        </w:rPr>
        <w:t xml:space="preserve">THIS AGREEMENT</w:t>
      </w:r>
      <w:r>
        <w:rPr/>
        <w:t xml:space="preserve"> dated 12 October 2026 is made </w:t>
      </w:r>
      <w:r>
        <w:rPr>
          <w:b/>
        </w:rPr>
        <w:t xml:space="preserve">BETWEEN:</w:t>
      </w:r>
    </w:p>
    <w:p>
      <w:pPr>
        <w:pStyle w:val="Normal"/>
        <w:rPr/>
      </w:pPr>
      <w:r>
        <w:rPr/>
      </w:r>
    </w:p>
    <w:p>
      <w:pPr>
        <w:pStyle w:val="Normal"/>
        <w:ind w:start="720" w:end="0" w:hanging="720"/>
        <w:rPr/>
      </w:pPr>
      <w:r>
        <w:rPr>
          <w:b/>
        </w:rPr>
        <w:t xml:space="preserve">(1)</w:t>
      </w:r>
      <w:r>
        <w:rPr/>
        <w:tab/>
      </w:r>
      <w:r>
        <w:rPr>
          <w:b/>
        </w:rPr>
        <w:t xml:space="preserve">The University of Kingsmere</w:t>
      </w:r>
      <w:r>
        <w:rPr/>
        <w:t xml:space="preserve">, whose administrative offices are at Research &amp; Innovation Services, Albion House, 14 College Road, Kingsmere KM4 2AB, United Kingdom (the University); and</w:t>
      </w:r>
    </w:p>
    <w:p>
      <w:pPr>
        <w:pStyle w:val="Normal"/>
        <w:rPr/>
      </w:pPr>
      <w:r>
        <w:rPr/>
      </w:r>
    </w:p>
    <w:p>
      <w:pPr>
        <w:pStyle w:val="Normal"/>
        <w:numPr>
          <w:ilvl w:val="0"/>
          <w:numId w:val="7"/>
        </w:numPr>
        <w:rPr/>
      </w:pPr>
      <w:r>
        <w:rPr>
          <w:b/>
        </w:rPr>
        <w:t xml:space="preserve">Halcyon Photonics </w:t>
      </w:r>
      <w:r>
        <w:rPr>
          <w:b/>
        </w:rPr>
        <w:t xml:space="preserve">LIMITED</w:t>
      </w:r>
      <w:r>
        <w:rPr/>
        <w:t xml:space="preserve">, a company registered in England and Wales under number 14829376, whose registered office is at Unit 7, Harbourside Innovation Centre, 22 Quay Street, Bristol BS1 4XE, United Kingdom (the Company)</w:t>
      </w:r>
    </w:p>
    <w:p>
      <w:pPr>
        <w:pStyle w:val="Normal"/>
        <w:rPr>
          <w:b/>
        </w:rPr>
      </w:pPr>
      <w:r>
        <w:rPr>
          <w:b/>
        </w:rPr>
      </w:r>
    </w:p>
    <w:p>
      <w:pPr>
        <w:pStyle w:val="Normal"/>
        <w:rPr>
          <w:b/>
        </w:rPr>
      </w:pPr>
      <w:r>
        <w:rPr>
          <w:b/>
        </w:rPr>
        <w:t>BACKGROUND</w:t>
      </w:r>
    </w:p>
    <w:p>
      <w:pPr>
        <w:pStyle w:val="Normal"/>
        <w:rPr>
          <w:b/>
        </w:rPr>
      </w:pPr>
      <w:r>
        <w:rPr>
          <w:b/>
        </w:rPr>
      </w:r>
    </w:p>
    <w:p>
      <w:pPr>
        <w:pStyle w:val="Normal"/>
        <w:rPr/>
      </w:pPr>
      <w:r>
        <w:rPr/>
        <w:t xml:space="preserve">The parties wish to discuss a potential collaborative research project on low-loss silicon-nitride photonic waveguides for data-centre optical interconnects (the Proposed Project) and this is likely to involve them disclosing confidential information to each other.</w:t>
      </w:r>
    </w:p>
    <w:p>
      <w:pPr>
        <w:pStyle w:val="Header"/>
        <w:tabs>
          <w:tab w:val="clear" w:pos="4320"/>
          <w:tab w:val="clear" w:pos="8640"/>
        </w:tabs>
        <w:rPr/>
      </w:pPr>
      <w:r>
        <w:rPr/>
      </w:r>
    </w:p>
    <w:p>
      <w:pPr>
        <w:pStyle w:val="Normal"/>
        <w:numPr>
          <w:ilvl w:val="0"/>
          <w:numId w:val="15"/>
        </w:numPr>
        <w:tabs>
          <w:tab w:val="left" w:leader="none" w:pos="720"/>
        </w:tabs>
        <w:ind w:start="720" w:end="0" w:hanging="720"/>
        <w:rPr>
          <w:b/>
        </w:rPr>
      </w:pPr>
      <w:r>
        <w:rPr>
          <w:b/>
        </w:rPr>
        <w:t>DEFINITIONS</w:t>
      </w:r>
    </w:p>
    <w:p>
      <w:pPr>
        <w:pStyle w:val="NormalBoldManches"/>
        <w:rPr>
          <w:b w:val="false"/>
        </w:rPr>
      </w:pPr>
      <w:r>
        <w:rPr>
          <w:b w:val="false"/>
        </w:rPr>
      </w:r>
    </w:p>
    <w:p>
      <w:pPr>
        <w:pStyle w:val="Normal"/>
        <w:rPr/>
      </w:pPr>
      <w:r>
        <w:rPr>
          <w:b/>
        </w:rPr>
        <w:tab/>
      </w:r>
      <w:r>
        <w:rPr/>
        <w:t>In this Agreement the following expressions have the meaning set opposite:</w:t>
      </w:r>
    </w:p>
    <w:p>
      <w:pPr>
        <w:pStyle w:val="Normal"/>
        <w:rPr/>
      </w:pPr>
      <w:r>
        <w:rPr/>
      </w:r>
    </w:p>
    <w:tbl>
      <w:tblPr>
        <w:tblW w:w="8504" w:type="dxa"/>
        <w:jc w:val="start"/>
        <w:tblInd w:w="738" w:type="dxa"/>
        <w:tblLayout w:type="fixed"/>
        <w:tblCellMar>
          <w:top w:w="0" w:type="dxa"/>
          <w:start w:w="108" w:type="dxa"/>
          <w:bottom w:w="0" w:type="dxa"/>
          <w:end w:w="108" w:type="dxa"/>
        </w:tblCellMar>
      </w:tblPr>
      <w:tblGrid>
        <w:gridCol w:w="3330"/>
        <w:gridCol w:w="5174"/>
      </w:tblGrid>
      <w:tr>
        <w:trPr/>
        <w:tc>
          <w:tcPr>
            <w:tcW w:w="3330" w:type="dxa"/>
            <w:tcBorders/>
          </w:tcPr>
          <w:p>
            <w:pPr>
              <w:pStyle w:val="Normal"/>
              <w:rPr>
                <w:b/>
              </w:rPr>
            </w:pPr>
            <w:r>
              <w:rPr>
                <w:b/>
              </w:rPr>
              <w:t>this Agreement:</w:t>
            </w:r>
          </w:p>
        </w:tc>
        <w:tc>
          <w:tcPr>
            <w:tcW w:w="5174" w:type="dxa"/>
            <w:tcBorders/>
          </w:tcPr>
          <w:p>
            <w:pPr>
              <w:pStyle w:val="Normal"/>
              <w:rPr/>
            </w:pPr>
            <w:r>
              <w:rPr/>
              <w:t>this document, as amended from time to time in accordance with clause and 5.7;</w:t>
            </w:r>
          </w:p>
          <w:p>
            <w:pPr>
              <w:pStyle w:val="Normal"/>
              <w:rPr/>
            </w:pPr>
            <w:r>
              <w:rPr/>
            </w:r>
          </w:p>
        </w:tc>
      </w:tr>
      <w:tr>
        <w:trPr/>
        <w:tc>
          <w:tcPr>
            <w:tcW w:w="3330" w:type="dxa"/>
            <w:tcBorders/>
          </w:tcPr>
          <w:p>
            <w:pPr>
              <w:pStyle w:val="Normal"/>
              <w:rPr>
                <w:b/>
              </w:rPr>
            </w:pPr>
            <w:r>
              <w:rPr>
                <w:b/>
              </w:rPr>
              <w:t>a Business Day:</w:t>
            </w:r>
          </w:p>
        </w:tc>
        <w:tc>
          <w:tcPr>
            <w:tcW w:w="5174" w:type="dxa"/>
            <w:tcBorders/>
          </w:tcPr>
          <w:p>
            <w:pPr>
              <w:pStyle w:val="Normal"/>
              <w:rPr/>
            </w:pPr>
            <w:r>
              <w:rPr/>
              <w:t xml:space="preserve">Monday to Friday (inclusive) except bank or public holidays in England and Wales;</w:t>
            </w:r>
          </w:p>
        </w:tc>
      </w:tr>
      <w:tr>
        <w:trPr/>
        <w:tc>
          <w:tcPr>
            <w:tcW w:w="3330" w:type="dxa"/>
            <w:tcBorders/>
          </w:tcPr>
          <w:p>
            <w:pPr>
              <w:pStyle w:val="Normal"/>
              <w:rPr>
                <w:b/>
              </w:rPr>
            </w:pPr>
            <w:r>
              <w:rPr>
                <w:b/>
              </w:rPr>
              <w:t>Confidential Information:</w:t>
            </w:r>
          </w:p>
        </w:tc>
        <w:tc>
          <w:tcPr>
            <w:tcW w:w="5174" w:type="dxa"/>
            <w:tcBorders/>
          </w:tcPr>
          <w:p>
            <w:pPr>
              <w:pStyle w:val="Normal"/>
              <w:rPr/>
            </w:pPr>
            <w:r>
              <w:rPr/>
              <w:t xml:space="preserve">each party's confidential information including any Intellectual Property and Know-how disclosed by that party to the other for the Specified Purpose[and identified as confidential before or at the time of disclosure]; </w:t>
            </w:r>
          </w:p>
          <w:p>
            <w:pPr>
              <w:pStyle w:val="Normal"/>
              <w:rPr>
                <w:sz w:val="18"/>
              </w:rPr>
            </w:pPr>
            <w:r>
              <w:rPr>
                <w:sz w:val="18"/>
              </w:rPr>
            </w:r>
          </w:p>
        </w:tc>
      </w:tr>
      <w:tr>
        <w:trPr/>
        <w:tc>
          <w:tcPr>
            <w:tcW w:w="3330" w:type="dxa"/>
            <w:tcBorders/>
          </w:tcPr>
          <w:p>
            <w:pPr>
              <w:pStyle w:val="Normal"/>
              <w:rPr>
                <w:b/>
              </w:rPr>
            </w:pPr>
            <w:r>
              <w:rPr>
                <w:b/>
              </w:rPr>
              <w:t>a Group Company:</w:t>
            </w:r>
          </w:p>
        </w:tc>
        <w:tc>
          <w:tcPr>
            <w:tcW w:w="5174" w:type="dxa"/>
            <w:tcBorders/>
          </w:tcPr>
          <w:p>
            <w:pPr>
              <w:pStyle w:val="Normal"/>
              <w:rPr/>
            </w:pPr>
            <w:r>
              <w:rP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r>
              <w:rPr>
                <w:rFonts w:ascii="Verdana" w:hAnsi="Verdana" w:cs="Verdana"/>
              </w:rPr>
            </w:r>
          </w:p>
        </w:tc>
      </w:tr>
      <w:tr>
        <w:trPr/>
        <w:tc>
          <w:tcPr>
            <w:tcW w:w="3330" w:type="dxa"/>
            <w:tcBorders/>
          </w:tcPr>
          <w:p>
            <w:pPr>
              <w:pStyle w:val="Normal"/>
              <w:rPr>
                <w:b/>
              </w:rPr>
            </w:pPr>
            <w:r>
              <w:rPr>
                <w:b/>
              </w:rPr>
              <w:t>Intellectual Property:</w:t>
            </w:r>
          </w:p>
        </w:tc>
        <w:tc>
          <w:tcPr>
            <w:tcW w:w="5174" w:type="dxa"/>
            <w:tcBorders/>
          </w:tcPr>
          <w:p>
            <w:pPr>
              <w:pStyle w:val="Normal"/>
              <w:rPr/>
            </w:pPr>
            <w:r>
              <w:rP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pPr>
              <w:pStyle w:val="Normal"/>
              <w:rPr/>
            </w:pPr>
            <w:r>
              <w:rPr/>
            </w:r>
          </w:p>
        </w:tc>
      </w:tr>
      <w:tr>
        <w:trPr/>
        <w:tc>
          <w:tcPr>
            <w:tcW w:w="3330" w:type="dxa"/>
            <w:tcBorders/>
          </w:tcPr>
          <w:p>
            <w:pPr>
              <w:pStyle w:val="Normal"/>
              <w:rPr>
                <w:b/>
              </w:rPr>
            </w:pPr>
            <w:r>
              <w:rPr>
                <w:b/>
              </w:rPr>
              <w:t>Know-how:</w:t>
            </w:r>
          </w:p>
        </w:tc>
        <w:tc>
          <w:tcPr>
            <w:tcW w:w="5174" w:type="dxa"/>
            <w:tcBorders/>
          </w:tcPr>
          <w:p>
            <w:pPr>
              <w:pStyle w:val="Normal"/>
              <w:rPr/>
            </w:pPr>
            <w:r>
              <w:rP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pPr>
              <w:pStyle w:val="Normal"/>
              <w:rPr/>
            </w:pPr>
            <w:r>
              <w:rPr/>
            </w:r>
          </w:p>
        </w:tc>
      </w:tr>
      <w:tr>
        <w:trPr/>
        <w:tc>
          <w:tcPr>
            <w:tcW w:w="3330" w:type="dxa"/>
            <w:tcBorders/>
          </w:tcPr>
          <w:p>
            <w:pPr>
              <w:pStyle w:val="Normal"/>
              <w:rPr>
                <w:b/>
              </w:rPr>
            </w:pPr>
            <w:r>
              <w:rPr>
                <w:b/>
              </w:rPr>
              <w:t>the Proposed Project:</w:t>
            </w:r>
          </w:p>
        </w:tc>
        <w:tc>
          <w:tcPr>
            <w:tcW w:w="5174" w:type="dxa"/>
            <w:tcBorders/>
          </w:tcPr>
          <w:p>
            <w:pPr>
              <w:pStyle w:val="Normal"/>
              <w:rPr/>
            </w:pPr>
            <w:r>
              <w:rPr>
                <w:i/>
              </w:rPr>
              <w:t xml:space="preserve">a two-year collaborative research project on low-loss silicon-nitride photonic waveguides for data-centre optical interconnects; and</w:t>
            </w:r>
          </w:p>
        </w:tc>
      </w:tr>
      <w:tr>
        <w:trPr/>
        <w:tc>
          <w:tcPr>
            <w:tcW w:w="3330" w:type="dxa"/>
            <w:tcBorders/>
          </w:tcPr>
          <w:p>
            <w:pPr>
              <w:pStyle w:val="Normal"/>
              <w:rPr>
                <w:b/>
              </w:rPr>
            </w:pPr>
            <w:r>
              <w:rPr>
                <w:b/>
              </w:rPr>
              <w:t>the Specified Purpose:</w:t>
            </w:r>
          </w:p>
        </w:tc>
        <w:tc>
          <w:tcPr>
            <w:tcW w:w="5174" w:type="dxa"/>
            <w:tcBorders/>
          </w:tcPr>
          <w:p>
            <w:pPr>
              <w:pStyle w:val="Normal"/>
              <w:rPr/>
            </w:pPr>
            <w:r>
              <w:rPr/>
              <w:t xml:space="preserve">discussing whether to collaborate with the other party in the Proposed Project, the preparation of any outline specification, proposal or workplan for the Proposed Project, and the submission of any application for funding for the Proposed Project. </w:t>
            </w:r>
          </w:p>
        </w:tc>
      </w:tr>
    </w:tbl>
    <w:p>
      <w:pPr>
        <w:pStyle w:val="Normal"/>
        <w:rPr/>
      </w:pPr>
      <w:r>
        <w:rPr/>
      </w:r>
    </w:p>
    <w:p>
      <w:pPr>
        <w:pStyle w:val="Normal"/>
        <w:rPr/>
      </w:pPr>
      <w:r>
        <w:rPr/>
        <w:t>2.</w:t>
        <w:tab/>
      </w:r>
      <w:r>
        <w:rPr>
          <w:b/>
        </w:rPr>
        <w:t>CONFIDENTIALITY</w:t>
      </w:r>
    </w:p>
    <w:p>
      <w:pPr>
        <w:pStyle w:val="Normal"/>
        <w:rPr>
          <w:b/>
        </w:rPr>
      </w:pPr>
      <w:r>
        <w:rPr>
          <w:b/>
        </w:rPr>
      </w:r>
    </w:p>
    <w:p>
      <w:pPr>
        <w:pStyle w:val="Para1"/>
        <w:numPr>
          <w:ilvl w:val="0"/>
          <w:numId w:val="0"/>
        </w:numPr>
        <w:spacing w:before="0" w:after="0"/>
        <w:ind w:start="720" w:end="0" w:hanging="720"/>
        <w:rPr/>
      </w:pPr>
      <w:r>
        <w:rPr/>
        <w:t xml:space="preserve">2.1</w:t>
      </w:r>
      <w:r>
        <w:rPr/>
        <w:tab/>
      </w:r>
      <w:r>
        <w:rPr/>
        <w:t xml:space="preserve">Neither party will, before the expiry of 5 years after its receipt of any of the other party’s Confidential Information, disclose to any third party, nor use for any purpose except the Specified Purpose, any of the other party's Confidential Information.</w:t>
      </w:r>
    </w:p>
    <w:p>
      <w:pPr>
        <w:pStyle w:val="Normal"/>
        <w:rPr/>
      </w:pPr>
      <w:r>
        <w:rPr/>
      </w:r>
    </w:p>
    <w:p>
      <w:pPr>
        <w:pStyle w:val="Para1"/>
        <w:numPr>
          <w:ilvl w:val="0"/>
          <w:numId w:val="0"/>
        </w:numPr>
        <w:spacing w:before="0" w:after="0"/>
        <w:ind w:start="720" w:end="0" w:hanging="720"/>
        <w:rPr/>
      </w:pPr>
      <w:r>
        <w:rPr/>
        <w:t>2.2</w:t>
        <w:tab/>
        <w:t>Neither party will be in breach of any obligation to keep any information confidential or not to disclose it to any other party to the extent that it:</w:t>
      </w:r>
    </w:p>
    <w:p>
      <w:pPr>
        <w:pStyle w:val="Normal"/>
        <w:rPr/>
      </w:pPr>
      <w:r>
        <w:rPr/>
      </w:r>
    </w:p>
    <w:p>
      <w:pPr>
        <w:pStyle w:val="para2"/>
        <w:numPr>
          <w:ilvl w:val="0"/>
          <w:numId w:val="0"/>
        </w:numPr>
        <w:ind w:start="1440" w:end="0" w:hanging="720"/>
        <w:rPr/>
      </w:pPr>
      <w:r>
        <w:rPr/>
        <w:t>2.2.1</w:t>
        <w:tab/>
        <w:t>is known to the party making the disclosure before its receipt from the other party, and not already subject to any obligation of confidentiality to the other party;</w:t>
      </w:r>
    </w:p>
    <w:p>
      <w:pPr>
        <w:pStyle w:val="Normal"/>
        <w:ind w:start="1440" w:end="0" w:hanging="720"/>
        <w:rPr/>
      </w:pPr>
      <w:r>
        <w:rPr/>
      </w:r>
    </w:p>
    <w:p>
      <w:pPr>
        <w:pStyle w:val="para2"/>
        <w:numPr>
          <w:ilvl w:val="0"/>
          <w:numId w:val="0"/>
        </w:numPr>
        <w:ind w:start="1440" w:end="0" w:hanging="720"/>
        <w:rPr/>
      </w:pPr>
      <w:r>
        <w:rPr/>
        <w:t>2.2.2</w:t>
        <w:tab/>
        <w:t>is or becomes publicly known without any breach of this Agreement or any other undertaking to keep it confidential;</w:t>
      </w:r>
    </w:p>
    <w:p>
      <w:pPr>
        <w:pStyle w:val="Normal"/>
        <w:rPr/>
      </w:pPr>
      <w:r>
        <w:rPr/>
      </w:r>
    </w:p>
    <w:p>
      <w:pPr>
        <w:pStyle w:val="para2"/>
        <w:numPr>
          <w:ilvl w:val="0"/>
          <w:numId w:val="0"/>
        </w:numPr>
        <w:ind w:start="1440" w:end="0" w:hanging="720"/>
        <w:rPr/>
      </w:pPr>
      <w:r>
        <w:rPr/>
        <w:t>2.2.3</w:t>
        <w:tab/>
        <w:t>has been obtained by the party making the disclosure from a third party in circumstances where the party making the disclosure has no reason to believe that there has been a breach of an obligation of confidentiality owed to the other party;</w:t>
      </w:r>
    </w:p>
    <w:p>
      <w:pPr>
        <w:pStyle w:val="Normal"/>
        <w:rPr/>
      </w:pPr>
      <w:r>
        <w:rPr/>
      </w:r>
    </w:p>
    <w:p>
      <w:pPr>
        <w:pStyle w:val="Normal"/>
        <w:ind w:start="1440" w:end="0" w:hanging="720"/>
        <w:rPr/>
      </w:pPr>
      <w:r>
        <w:rPr/>
        <w:t>2.2.4</w:t>
        <w:tab/>
        <w:t>has been independently developed by the party making the disclosure;</w:t>
      </w:r>
    </w:p>
    <w:p>
      <w:pPr>
        <w:pStyle w:val="Normal"/>
        <w:ind w:start="1440" w:end="0" w:hanging="720"/>
        <w:rPr/>
      </w:pPr>
      <w:r>
        <w:rPr/>
      </w:r>
    </w:p>
    <w:p>
      <w:pPr>
        <w:pStyle w:val="Normal"/>
        <w:ind w:start="1440" w:end="0" w:hanging="720"/>
        <w:rPr/>
      </w:pPr>
      <w:r>
        <w:rP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pStyle w:val="Normal"/>
        <w:ind w:start="1440" w:end="0" w:hanging="720"/>
        <w:rPr/>
      </w:pPr>
      <w:r>
        <w:rPr/>
      </w:r>
    </w:p>
    <w:p>
      <w:pPr>
        <w:pStyle w:val="para2"/>
        <w:numPr>
          <w:ilvl w:val="2"/>
          <w:numId w:val="6"/>
        </w:numPr>
        <w:rPr/>
      </w:pPr>
      <w:r>
        <w:rPr/>
        <w:t>is approved for release in writing by an authorised representative of the other party.</w:t>
      </w:r>
    </w:p>
    <w:p>
      <w:pPr>
        <w:pStyle w:val="para2"/>
        <w:numPr>
          <w:ilvl w:val="0"/>
          <w:numId w:val="0"/>
        </w:numPr>
        <w:ind w:start="720" w:end="0" w:hanging="0"/>
        <w:rPr/>
      </w:pPr>
      <w:r>
        <w:rPr/>
      </w:r>
    </w:p>
    <w:p>
      <w:pPr>
        <w:pStyle w:val="para2"/>
        <w:numPr>
          <w:ilvl w:val="0"/>
          <w:numId w:val="0"/>
        </w:numPr>
        <w:ind w:start="720" w:end="0" w:hanging="720"/>
        <w:rPr/>
      </w:pPr>
      <w:r>
        <w:rPr/>
        <w:t xml:space="preserve">2.3</w:t>
      </w:r>
      <w:r>
        <w:rPr/>
        <w:tab/>
      </w:r>
      <w:r>
        <w:rPr/>
        <w:t xml:space="preserve">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2"/>
        <w:numPr>
          <w:numId w:val="0"/>
        </w:numPr>
        <w:ind w:start="720" w:end="0" w:hanging="720"/>
        <w:rPr/>
      </w:pPr>
      <w:r>
        <w:rPr/>
        <w:t xml:space="preserve">The Company may also disclose the University's Confidential Information to its professional advisers and to potential investors, in each case only under equivalent confidentiality obligations or on a confidential basis.</w:t>
      </w:r>
    </w:p>
    <w:p>
      <w:pPr>
        <w:pStyle w:val="Para1"/>
        <w:numPr>
          <w:ilvl w:val="0"/>
          <w:numId w:val="0"/>
        </w:numPr>
        <w:spacing w:before="0" w:after="0"/>
        <w:ind w:start="720" w:end="0" w:hanging="720"/>
        <w:rPr/>
      </w:pPr>
      <w:r>
        <w:rPr/>
      </w:r>
    </w:p>
    <w:p>
      <w:pPr>
        <w:pStyle w:val="Para1"/>
        <w:numPr>
          <w:ilvl w:val="1"/>
          <w:numId w:val="14"/>
        </w:numPr>
        <w:tabs>
          <w:tab w:val="left" w:leader="none" w:pos="720"/>
        </w:tabs>
        <w:spacing w:before="0" w:after="0"/>
        <w:ind w:start="720" w:end="0" w:hanging="630"/>
        <w:rPr/>
      </w:pPr>
      <w:r>
        <w:rPr/>
        <w:t xml:space="preserve">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5 Business Days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start="360" w:end="0" w:hanging="0"/>
        <w:rPr/>
      </w:pPr>
      <w:r>
        <w:rPr/>
      </w:r>
    </w:p>
    <w:p>
      <w:pPr>
        <w:pStyle w:val="Para1"/>
        <w:numPr>
          <w:ilvl w:val="0"/>
          <w:numId w:val="4"/>
        </w:numPr>
        <w:tabs>
          <w:tab w:val="left" w:leader="none" w:pos="720"/>
        </w:tabs>
        <w:spacing w:before="0" w:after="0"/>
        <w:ind w:start="720" w:end="0" w:hanging="720"/>
        <w:rPr>
          <w:b/>
        </w:rPr>
      </w:pPr>
      <w:r>
        <w:rPr>
          <w:b/>
        </w:rPr>
        <w:t>INTELLECTUAL PROPERTY</w:t>
      </w:r>
    </w:p>
    <w:p>
      <w:pPr>
        <w:pStyle w:val="Para1"/>
        <w:numPr>
          <w:ilvl w:val="0"/>
          <w:numId w:val="0"/>
        </w:numPr>
        <w:spacing w:before="0" w:after="0"/>
        <w:ind w:start="0" w:hanging="0"/>
        <w:rPr>
          <w:b/>
        </w:rPr>
      </w:pPr>
      <w:r>
        <w:rPr>
          <w:b/>
        </w:rPr>
      </w:r>
    </w:p>
    <w:p>
      <w:pPr>
        <w:pStyle w:val="Para1"/>
        <w:numPr>
          <w:ilvl w:val="0"/>
          <w:numId w:val="0"/>
        </w:numPr>
        <w:spacing w:before="0" w:after="0"/>
        <w:ind w:start="720" w:end="0" w:hanging="720"/>
        <w:rPr/>
      </w:pPr>
      <w:r>
        <w:rPr/>
        <w:t>3.1</w:t>
        <w:tab/>
        <w:t>Nothing in this Agreement grants any licence or right, beyond that required for the Specified Purpose, under any patent, copyright, trade secret or other Intellectual Property.</w:t>
      </w:r>
    </w:p>
    <w:p>
      <w:pPr>
        <w:pStyle w:val="Normal"/>
        <w:rPr/>
      </w:pPr>
      <w:r>
        <w:rPr/>
      </w:r>
    </w:p>
    <w:p>
      <w:pPr>
        <w:pStyle w:val="Para1"/>
        <w:numPr>
          <w:ilvl w:val="1"/>
          <w:numId w:val="4"/>
        </w:numPr>
        <w:spacing w:before="0" w:after="0"/>
        <w:rPr/>
      </w:pPr>
      <w:r>
        <w:rPr/>
        <w:t xml:space="preserve">Neither party will remove any proprietary, copyright, trade secret, confidentiality or other notice from any of the other’s Confidential Information. </w:t>
      </w:r>
    </w:p>
    <w:p>
      <w:pPr>
        <w:pStyle w:val="Normal"/>
        <w:rPr/>
      </w:pPr>
      <w:r>
        <w:rPr/>
      </w:r>
    </w:p>
    <w:p>
      <w:pPr>
        <w:pStyle w:val="Normal"/>
        <w:numPr>
          <w:ilvl w:val="0"/>
          <w:numId w:val="4"/>
        </w:numPr>
        <w:tabs>
          <w:tab w:val="left" w:leader="none" w:pos="720"/>
        </w:tabs>
        <w:ind w:start="810" w:end="0" w:hanging="810"/>
        <w:rPr>
          <w:b/>
        </w:rPr>
      </w:pPr>
      <w:r>
        <w:rPr>
          <w:b/>
        </w:rPr>
        <w:t>TERM</w:t>
      </w:r>
    </w:p>
    <w:p>
      <w:pPr>
        <w:pStyle w:val="Normal"/>
        <w:rPr>
          <w:b/>
        </w:rPr>
      </w:pPr>
      <w:r>
        <w:rPr>
          <w:b/>
        </w:rPr>
      </w:r>
    </w:p>
    <w:p>
      <w:pPr>
        <w:pStyle w:val="Para1"/>
        <w:numPr>
          <w:ilvl w:val="1"/>
          <w:numId w:val="10"/>
        </w:numPr>
        <w:spacing w:before="0" w:after="0"/>
        <w:rPr/>
      </w:pPr>
      <w:r>
        <w:rPr/>
        <w:t xml:space="preserve">This Agreement will continue indefinitely despite the conclusion of the discussions between the parties concerning the Proposed Project.</w:t>
      </w:r>
    </w:p>
    <w:p>
      <w:pPr>
        <w:pStyle w:val="Para1"/>
        <w:numPr>
          <w:ilvl w:val="0"/>
          <w:numId w:val="0"/>
        </w:numPr>
        <w:spacing w:before="0" w:after="0"/>
        <w:ind w:start="0" w:hanging="0"/>
        <w:rPr/>
      </w:pPr>
      <w:r>
        <w:rPr/>
      </w:r>
    </w:p>
    <w:p>
      <w:pPr>
        <w:pStyle w:val="Para1"/>
        <w:numPr>
          <w:ilvl w:val="1"/>
          <w:numId w:val="10"/>
        </w:numPr>
        <w:spacing w:before="0" w:after="0"/>
        <w:rPr/>
      </w:pPr>
      <w:r>
        <w:rP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Pr>
        <w:pStyle w:val="Normal"/>
        <w:rPr/>
      </w:pPr>
      <w:r>
        <w:rPr/>
      </w:r>
    </w:p>
    <w:p>
      <w:pPr>
        <w:pStyle w:val="Para1"/>
        <w:numPr>
          <w:ilvl w:val="0"/>
          <w:numId w:val="0"/>
        </w:numPr>
        <w:spacing w:before="0" w:after="0"/>
        <w:ind w:start="720" w:end="0" w:hanging="720"/>
        <w:rPr/>
      </w:pPr>
      <w:r>
        <w:rPr/>
        <w:t xml:space="preserve">4.3</w:t>
      </w:r>
      <w:r>
        <w:rPr/>
        <w:tab/>
      </w:r>
      <w:r>
        <w:rPr/>
        <w:t xml:space="preserve">At the conclusion of the discussions about the Proposed Project, unless the parties enter into an agreement for the carrying out of that project, each of the parties will, at the other’s request;</w:t>
      </w:r>
    </w:p>
    <w:p>
      <w:pPr>
        <w:pStyle w:val="Normal"/>
        <w:rPr/>
      </w:pPr>
      <w:r>
        <w:rPr/>
      </w:r>
    </w:p>
    <w:p>
      <w:pPr>
        <w:pStyle w:val="para2"/>
        <w:numPr>
          <w:ilvl w:val="2"/>
          <w:numId w:val="13"/>
        </w:numPr>
        <w:rPr/>
      </w:pPr>
      <w:r>
        <w:rPr/>
        <w:t>return or destroy the other’s Confidential Information in its possession, custody or control; and</w:t>
      </w:r>
    </w:p>
    <w:p>
      <w:pPr>
        <w:pStyle w:val="para2"/>
        <w:numPr>
          <w:ilvl w:val="0"/>
          <w:numId w:val="0"/>
        </w:numPr>
        <w:ind w:start="720" w:end="0" w:hanging="0"/>
        <w:rPr/>
      </w:pPr>
      <w:r>
        <w:rPr/>
      </w:r>
    </w:p>
    <w:p>
      <w:pPr>
        <w:pStyle w:val="para2"/>
        <w:numPr>
          <w:ilvl w:val="2"/>
          <w:numId w:val="13"/>
        </w:numPr>
        <w:rPr/>
      </w:pPr>
      <w:r>
        <w:rPr/>
        <w:t>confirm in writing that the above has been done.</w:t>
      </w:r>
    </w:p>
    <w:p>
      <w:pPr>
        <w:pStyle w:val="Normal"/>
        <w:rPr/>
      </w:pPr>
      <w:r>
        <w:rPr/>
      </w:r>
    </w:p>
    <w:p>
      <w:pPr>
        <w:pStyle w:val="Normal"/>
        <w:ind w:start="720" w:end="0" w:hanging="720"/>
        <w:rPr/>
      </w:pPr>
      <w:r>
        <w:rPr/>
        <w:t>5.</w:t>
        <w:tab/>
      </w:r>
      <w:r>
        <w:rPr>
          <w:b/>
        </w:rPr>
        <w:t>GENERAL</w:t>
      </w:r>
    </w:p>
    <w:p>
      <w:pPr>
        <w:pStyle w:val="Normal"/>
        <w:rPr/>
      </w:pPr>
      <w:r>
        <w:rPr/>
      </w:r>
    </w:p>
    <w:p>
      <w:pPr>
        <w:pStyle w:val="Normal"/>
        <w:ind w:start="720" w:end="0" w:hanging="720"/>
        <w:rPr/>
      </w:pPr>
      <w:r>
        <w:rPr/>
        <w:t>5.1</w:t>
      </w:r>
      <w:r>
        <w:rPr>
          <w:i/>
        </w:rPr>
        <w:tab/>
      </w:r>
      <w:r>
        <w:rPr>
          <w:b/>
        </w:rPr>
        <w:t xml:space="preserve">Notices: </w:t>
      </w:r>
      <w:r>
        <w:rP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073"/>
        <w:gridCol w:w="4621"/>
      </w:tblGrid>
      <w:tr>
        <w:trPr/>
        <w:tc>
          <w:tcPr>
            <w:tcW w:w="3073" w:type="dxa"/>
            <w:tcBorders/>
          </w:tcPr>
          <w:p>
            <w:pPr>
              <w:pStyle w:val="Normal"/>
              <w:rPr>
                <w:b/>
              </w:rPr>
            </w:pPr>
            <w:r>
              <w:rPr>
                <w:b/>
              </w:rPr>
              <w:t xml:space="preserve">Method of service </w:t>
            </w:r>
          </w:p>
          <w:p>
            <w:pPr>
              <w:pStyle w:val="Normal"/>
              <w:rPr>
                <w:b/>
              </w:rPr>
            </w:pPr>
            <w:r>
              <w:rPr>
                <w:b/>
              </w:rPr>
            </w:r>
          </w:p>
        </w:tc>
        <w:tc>
          <w:tcPr>
            <w:tcW w:w="4621" w:type="dxa"/>
            <w:tcBorders/>
          </w:tcPr>
          <w:p>
            <w:pPr>
              <w:pStyle w:val="NormalBoldManches"/>
              <w:rPr/>
            </w:pPr>
            <w:r>
              <w:rPr/>
              <w:t>Deemed day of receipt</w:t>
            </w:r>
          </w:p>
        </w:tc>
      </w:tr>
      <w:tr>
        <w:trPr/>
        <w:tc>
          <w:tcPr>
            <w:tcW w:w="3073" w:type="dxa"/>
            <w:tcBorders/>
          </w:tcPr>
          <w:p>
            <w:pPr>
              <w:pStyle w:val="Normal"/>
              <w:rPr/>
            </w:pPr>
            <w:r>
              <w:rPr/>
              <w:t>By hand or courier</w:t>
            </w:r>
          </w:p>
          <w:p>
            <w:pPr>
              <w:pStyle w:val="Normal"/>
              <w:rPr/>
            </w:pPr>
            <w:r>
              <w:rPr/>
            </w:r>
          </w:p>
        </w:tc>
        <w:tc>
          <w:tcPr>
            <w:tcW w:w="4621" w:type="dxa"/>
            <w:tcBorders/>
          </w:tcPr>
          <w:p>
            <w:pPr>
              <w:pStyle w:val="Normal"/>
              <w:rPr/>
            </w:pPr>
            <w:r>
              <w:rPr/>
              <w:t>the day of delivery</w:t>
            </w:r>
          </w:p>
        </w:tc>
      </w:tr>
      <w:tr>
        <w:trPr/>
        <w:tc>
          <w:tcPr>
            <w:tcW w:w="3073" w:type="dxa"/>
            <w:tcBorders/>
          </w:tcPr>
          <w:p>
            <w:pPr>
              <w:pStyle w:val="Normal"/>
              <w:rPr/>
            </w:pPr>
            <w:r>
              <w:rPr/>
              <w:t>By pre-paid first class post</w:t>
            </w:r>
          </w:p>
          <w:p>
            <w:pPr>
              <w:pStyle w:val="Normal"/>
              <w:rPr/>
            </w:pPr>
            <w:r>
              <w:rPr/>
            </w:r>
          </w:p>
        </w:tc>
        <w:tc>
          <w:tcPr>
            <w:tcW w:w="4621" w:type="dxa"/>
            <w:tcBorders/>
          </w:tcPr>
          <w:p>
            <w:pPr>
              <w:pStyle w:val="Normal"/>
              <w:rPr/>
            </w:pPr>
            <w:r>
              <w:rPr/>
              <w:t>the second Business Day after posting</w:t>
            </w:r>
          </w:p>
        </w:tc>
      </w:tr>
      <w:tr>
        <w:trPr/>
        <w:tc>
          <w:tcPr>
            <w:tcW w:w="3073" w:type="dxa"/>
            <w:tcBorders/>
          </w:tcPr>
          <w:p>
            <w:pPr>
              <w:pStyle w:val="Normal"/>
              <w:rPr/>
            </w:pPr>
            <w:r>
              <w:rPr/>
              <w:t>By recorded delivery post</w:t>
            </w:r>
          </w:p>
          <w:p>
            <w:pPr>
              <w:pStyle w:val="Normal"/>
              <w:rPr/>
            </w:pPr>
            <w:r>
              <w:rPr/>
            </w:r>
          </w:p>
        </w:tc>
        <w:tc>
          <w:tcPr>
            <w:tcW w:w="4621" w:type="dxa"/>
            <w:tcBorders/>
          </w:tcPr>
          <w:p>
            <w:pPr>
              <w:pStyle w:val="Normal"/>
              <w:rPr/>
            </w:pPr>
            <w:r>
              <w:rPr/>
              <w:t>the next Business Day after posting</w:t>
            </w:r>
          </w:p>
        </w:tc>
      </w:tr>
      <w:tr>
        <w:trPr/>
        <w:tc>
          <w:tcPr>
            <w:tcW w:w="3073" w:type="dxa"/>
            <w:tcBorders/>
          </w:tcPr>
          <w:p>
            <w:pPr>
              <w:pStyle w:val="Normal"/>
              <w:rPr/>
            </w:pPr>
            <w:r>
              <w:rPr/>
              <w:t>By fax (provided the sender’s fax machine confirms complete and error-free transmission of that notice to the correct fax number)</w:t>
            </w:r>
          </w:p>
        </w:tc>
        <w:tc>
          <w:tcPr>
            <w:tcW w:w="4621" w:type="dxa"/>
            <w:tcBorders/>
          </w:tcPr>
          <w:p>
            <w:pPr>
              <w:pStyle w:val="Normal"/>
              <w:rPr/>
            </w:pPr>
            <w:r>
              <w:rPr/>
              <w:t>the next Business Day after sending or, if sent before 16.00 (sender’s local time) on the Business Day it was sent</w:t>
            </w:r>
          </w:p>
        </w:tc>
      </w:tr>
    </w:tbl>
    <w:p>
      <w:pPr>
        <w:pStyle w:val="Normal"/>
        <w:rPr/>
      </w:pPr>
      <w:r>
        <w:rPr/>
      </w:r>
    </w:p>
    <w:p>
      <w:pPr>
        <w:pStyle w:val="BodyTextIndent2"/>
        <w:rPr/>
      </w:pPr>
      <w:r>
        <w:rPr/>
        <w:t>The parties' respective representatives for the receipt of notices are, until changed by notice given in accordance with this clause, as follows:</w:t>
      </w:r>
    </w:p>
    <w:p>
      <w:pPr>
        <w:pStyle w:val="Normal"/>
        <w:rPr/>
      </w:pPr>
      <w:r>
        <w:rPr/>
      </w:r>
    </w:p>
    <w:tbl>
      <w:tblPr>
        <w:tblW w:w="7694" w:type="dxa"/>
        <w:jc w:val="start"/>
        <w:tblInd w:w="1548" w:type="dxa"/>
        <w:tblLayout w:type="fixed"/>
        <w:tblCellMar>
          <w:top w:w="0" w:type="dxa"/>
          <w:start w:w="108" w:type="dxa"/>
          <w:bottom w:w="0" w:type="dxa"/>
          <w:end w:w="108" w:type="dxa"/>
        </w:tblCellMar>
      </w:tblPr>
      <w:tblGrid>
        <w:gridCol w:w="3690"/>
        <w:gridCol w:w="4004"/>
      </w:tblGrid>
      <w:tr>
        <w:trPr>
          <w:trHeight w:val="346" w:hRule="atLeast"/>
        </w:trPr>
        <w:tc>
          <w:tcPr>
            <w:tcW w:w="3690" w:type="dxa"/>
            <w:tcBorders/>
          </w:tcPr>
          <w:p>
            <w:pPr>
              <w:pStyle w:val="Normal"/>
              <w:rPr>
                <w:b/>
              </w:rPr>
            </w:pPr>
            <w:r>
              <w:rPr>
                <w:b/>
              </w:rPr>
              <w:t>For the University:</w:t>
            </w:r>
          </w:p>
        </w:tc>
        <w:tc>
          <w:tcPr>
            <w:tcW w:w="4004" w:type="dxa"/>
            <w:tcBorders/>
          </w:tcPr>
          <w:p>
            <w:pPr>
              <w:pStyle w:val="Normal"/>
              <w:rPr>
                <w:b/>
              </w:rPr>
            </w:pPr>
            <w:r>
              <w:rPr>
                <w:b/>
              </w:rPr>
              <w:t>For the Company:</w:t>
            </w:r>
          </w:p>
        </w:tc>
      </w:tr>
      <w:tr>
        <w:trPr/>
        <w:tc>
          <w:tcPr>
            <w:tcW w:w="3690" w:type="dxa"/>
            <w:tcBorders/>
          </w:tcPr>
          <w:p>
            <w:pPr>
              <w:pStyle w:val="Normal"/>
              <w:rPr/>
            </w:pPr>
            <w:r>
              <w:rPr/>
              <w:t xml:space="preserve">Name: Ms Priya Raman, Senior Contracts Manager</w:t>
            </w:r>
          </w:p>
          <w:p>
            <w:pPr>
              <w:pStyle w:val="Normal"/>
              <w:rPr/>
            </w:pPr>
            <w:r>
              <w:rPr/>
              <w:t xml:space="preserve">Address: Research &amp; Innovation Services, Albion House, 14 College Road, Kingsmere KM4 2AB</w:t>
            </w:r>
          </w:p>
        </w:tc>
        <w:tc>
          <w:tcPr>
            <w:tcW w:w="4004" w:type="dxa"/>
            <w:tcBorders/>
          </w:tcPr>
          <w:p>
            <w:pPr>
              <w:pStyle w:val="Normal"/>
              <w:rPr/>
            </w:pPr>
            <w:r>
              <w:rPr/>
              <w:t xml:space="preserve">Name: Mr Thomas Hadley, General Counsel, Halcyon Photonics Limited</w:t>
            </w:r>
          </w:p>
          <w:p>
            <w:pPr>
              <w:pStyle w:val="Normal"/>
              <w:rPr/>
            </w:pPr>
            <w:r>
              <w:rPr/>
              <w:t xml:space="preserve">Address: Unit 7, Harbourside Innovation Centre, 22 Quay Street, Bristol BS1 4XE</w:t>
            </w:r>
          </w:p>
        </w:tc>
      </w:tr>
      <w:tr>
        <w:trPr/>
        <w:tc>
          <w:tcPr>
            <w:tcW w:w="3690" w:type="dxa"/>
            <w:tcBorders/>
          </w:tcPr>
          <w:p>
            <w:pPr>
              <w:pStyle w:val="Normal"/>
              <w:rPr/>
            </w:pPr>
            <w:r>
              <w:rPr/>
              <w:t xml:space="preserve">Email: contracts@kingsmere.ac.uk</w:t>
            </w:r>
          </w:p>
        </w:tc>
        <w:tc>
          <w:tcPr>
            <w:tcW w:w="4004" w:type="dxa"/>
            <w:tcBorders/>
          </w:tcPr>
          <w:p>
            <w:pPr>
              <w:pStyle w:val="Normal"/>
              <w:rPr/>
            </w:pPr>
            <w:r>
              <w:rPr/>
              <w:t xml:space="preserve">Email: legal@halcyonphotonics.co.uk</w:t>
            </w:r>
          </w:p>
        </w:tc>
      </w:tr>
    </w:tbl>
    <w:p>
      <w:pPr>
        <w:pStyle w:val="Normal"/>
        <w:rPr/>
      </w:pPr>
      <w:r>
        <w:rPr/>
      </w:r>
    </w:p>
    <w:p>
      <w:pPr>
        <w:pStyle w:val="Normal"/>
        <w:numPr>
          <w:ilvl w:val="1"/>
          <w:numId w:val="12"/>
        </w:numPr>
        <w:rPr/>
      </w:pPr>
      <w:r>
        <w:rPr>
          <w:b/>
        </w:rPr>
        <w:t>Headings:</w:t>
      </w:r>
      <w:r>
        <w:rPr/>
        <w:t xml:space="preserve">  The headings in this Agreement are for ease of reference only; they do not affect its construction or interpretation.</w:t>
      </w:r>
    </w:p>
    <w:p>
      <w:pPr>
        <w:pStyle w:val="Normal"/>
        <w:rPr>
          <w:b/>
        </w:rPr>
      </w:pPr>
      <w:r>
        <w:rPr>
          <w:b/>
        </w:rPr>
      </w:r>
    </w:p>
    <w:p>
      <w:pPr>
        <w:pStyle w:val="Normal"/>
        <w:ind w:start="720" w:end="0" w:hanging="720"/>
        <w:rPr/>
      </w:pPr>
      <w:r>
        <w:rPr/>
        <w:t>5.3</w:t>
      </w:r>
      <w:r>
        <w:rPr>
          <w:b/>
        </w:rPr>
        <w:tab/>
        <w:t>Assignment:</w:t>
      </w:r>
      <w:r>
        <w:rPr/>
        <w:t xml:space="preserve">  Neither party may assign or transfer this Agreement as a whole, or any of its rights or obligations under it, without first obtaining the written consent of the other party.  That consent may not be unreasonably withheld or delayed.</w:t>
      </w:r>
    </w:p>
    <w:p>
      <w:pPr>
        <w:pStyle w:val="Normal"/>
        <w:rPr/>
      </w:pPr>
      <w:r>
        <w:rPr/>
      </w:r>
    </w:p>
    <w:p>
      <w:pPr>
        <w:pStyle w:val="Normal"/>
        <w:numPr>
          <w:ilvl w:val="1"/>
          <w:numId w:val="12"/>
        </w:numPr>
        <w:rPr/>
      </w:pPr>
      <w:r>
        <w:rPr>
          <w:b/>
        </w:rPr>
        <w:t xml:space="preserve">Illegal/unenforceable provisions: </w:t>
      </w:r>
      <w:r>
        <w:rP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Pr>
        <w:pStyle w:val="Normal"/>
        <w:rPr/>
      </w:pPr>
      <w:r>
        <w:rPr/>
      </w:r>
    </w:p>
    <w:p>
      <w:pPr>
        <w:pStyle w:val="Normal"/>
        <w:numPr>
          <w:ilvl w:val="1"/>
          <w:numId w:val="12"/>
        </w:numPr>
        <w:rPr/>
      </w:pPr>
      <w:r>
        <w:rPr>
          <w:b/>
        </w:rPr>
        <w:t xml:space="preserve">Waiver of rights: </w:t>
      </w:r>
      <w:r>
        <w:rPr>
          <w:i/>
        </w:rPr>
        <w:t xml:space="preserve"> </w:t>
      </w:r>
      <w:r>
        <w:rP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pStyle w:val="Normal"/>
        <w:rPr>
          <w:b/>
        </w:rPr>
      </w:pPr>
      <w:r>
        <w:rPr>
          <w:b/>
        </w:rPr>
      </w:r>
    </w:p>
    <w:p>
      <w:pPr>
        <w:pStyle w:val="Normal"/>
        <w:numPr>
          <w:ilvl w:val="1"/>
          <w:numId w:val="12"/>
        </w:numPr>
        <w:rPr/>
      </w:pPr>
      <w:r>
        <w:rPr>
          <w:b/>
        </w:rPr>
        <w:t>No agency:</w:t>
      </w:r>
      <w:r>
        <w:rP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pStyle w:val="Normal"/>
        <w:rPr>
          <w:b/>
        </w:rPr>
      </w:pPr>
      <w:r>
        <w:rPr>
          <w:b/>
        </w:rPr>
      </w:r>
    </w:p>
    <w:p>
      <w:pPr>
        <w:pStyle w:val="Normal"/>
        <w:numPr>
          <w:ilvl w:val="1"/>
          <w:numId w:val="12"/>
        </w:numPr>
        <w:rPr/>
      </w:pPr>
      <w:r>
        <w:rPr>
          <w:b/>
        </w:rPr>
        <w:t>Entire agreement:</w:t>
      </w:r>
      <w:r>
        <w:rPr>
          <w:i/>
        </w:rPr>
        <w:t xml:space="preserve"> </w:t>
      </w:r>
      <w:r>
        <w:rP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pStyle w:val="Normal"/>
        <w:rPr>
          <w:b/>
        </w:rPr>
      </w:pPr>
      <w:r>
        <w:rPr>
          <w:b/>
        </w:rPr>
      </w:r>
    </w:p>
    <w:p>
      <w:pPr>
        <w:pStyle w:val="Normal"/>
        <w:numPr>
          <w:ilvl w:val="1"/>
          <w:numId w:val="12"/>
        </w:numPr>
        <w:rPr/>
      </w:pPr>
      <w:r>
        <w:rPr>
          <w:b/>
        </w:rPr>
        <w:t xml:space="preserve">Amendments: </w:t>
      </w:r>
      <w:r>
        <w:rPr/>
        <w:t xml:space="preserve"> No variation or amendment of this Agreement will be effective unless it is made in writing and signed by each party's representative.</w:t>
      </w:r>
    </w:p>
    <w:p>
      <w:pPr>
        <w:pStyle w:val="Normal"/>
        <w:rPr>
          <w:b/>
        </w:rPr>
      </w:pPr>
      <w:r>
        <w:rPr>
          <w:b/>
        </w:rPr>
      </w:r>
    </w:p>
    <w:p>
      <w:pPr>
        <w:pStyle w:val="Normal"/>
        <w:numPr>
          <w:ilvl w:val="1"/>
          <w:numId w:val="12"/>
        </w:numPr>
        <w:rPr/>
      </w:pPr>
      <w:r>
        <w:rPr>
          <w:b/>
        </w:rPr>
        <w:t xml:space="preserve">Third parties: </w:t>
      </w:r>
      <w:r>
        <w:rPr>
          <w:i/>
        </w:rPr>
        <w:t xml:space="preserve"> </w:t>
      </w:r>
      <w:r>
        <w:rP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pStyle w:val="Normal"/>
        <w:rPr>
          <w:b/>
        </w:rPr>
      </w:pPr>
      <w:r>
        <w:rPr>
          <w:b/>
        </w:rPr>
      </w:r>
    </w:p>
    <w:p>
      <w:pPr>
        <w:pStyle w:val="Normal"/>
        <w:numPr>
          <w:ilvl w:val="1"/>
          <w:numId w:val="12"/>
        </w:numPr>
        <w:rPr/>
      </w:pPr>
      <w:r>
        <w:rPr>
          <w:b/>
        </w:rPr>
        <w:t>Governing law:</w:t>
      </w:r>
      <w:r>
        <w:rPr/>
        <w:t xml:space="preserve">  This Agreement is governed by, and is to be construed in accordance with, English law.  The English Courts will have exclusive jurisdiction to deal with any dispute which has arisen or may arise out of, or in connection with, this Agreement, except that either party may bring proceedings for an injunction in any jurisdiction.</w:t>
      </w:r>
    </w:p>
    <w:p>
      <w:pPr>
        <w:pStyle w:val="Normal"/>
        <w:rPr>
          <w:b/>
        </w:rPr>
      </w:pPr>
      <w:r>
        <w:rPr>
          <w:b/>
        </w:rPr>
      </w:r>
    </w:p>
    <w:p>
      <w:pPr>
        <w:pStyle w:val="Normal"/>
        <w:numPr>
          <w:ilvl w:val="1"/>
          <w:numId w:val="12"/>
        </w:numPr>
        <w:rPr/>
      </w:pPr>
      <w:r>
        <w:rPr>
          <w:b/>
        </w:rPr>
        <w:t xml:space="preserve">Escalation: </w:t>
      </w:r>
      <w:r>
        <w:rPr/>
        <w:t xml:space="preserve">If the parties are unable to reach agreement on any issue concerning this Agreement or the Project within 14 days after one party has notified the other of that issue, they will refer the matter to Professor Alan Whitcombe, Pro-Vice-Chancellor (Research) in the case of the University, and to Dr Mei Lin Wong, Chief Technology Officer in the case of the Company in an attempt to resolve the issue within 14 days after the referral.  Either party may bring proceedings in accordance with clause 5.9 if the matter has not been resolved within that 14 day period, and either party may apply to the court for an injunction whether or not any issue has been escalated under this clause.</w:t>
      </w:r>
    </w:p>
    <w:p>
      <w:pPr>
        <w:pStyle w:val="Normal"/>
        <w:ind w:start="720" w:end="0" w:hanging="720"/>
        <w:rPr>
          <w:b/>
        </w:rPr>
      </w:pPr>
      <w:r>
        <w:rPr>
          <w:b/>
        </w:rPr>
      </w:r>
    </w:p>
    <w:p>
      <w:pPr>
        <w:pStyle w:val="NormalBoldManches"/>
        <w:rPr>
          <w:b w:val="false"/>
        </w:rPr>
      </w:pPr>
      <w:r>
        <w:rPr>
          <w:b w:val="false"/>
        </w:rPr>
      </w:r>
    </w:p>
    <w:tbl>
      <w:tblPr>
        <w:tblW w:w="9242" w:type="dxa"/>
        <w:jc w:val="start"/>
        <w:tblInd w:w="0" w:type="dxa"/>
        <w:tblLayout w:type="fixed"/>
        <w:tblCellMar>
          <w:top w:w="0" w:type="dxa"/>
          <w:start w:w="108" w:type="dxa"/>
          <w:bottom w:w="0" w:type="dxa"/>
          <w:end w:w="108" w:type="dxa"/>
        </w:tblCellMar>
      </w:tblPr>
      <w:tblGrid>
        <w:gridCol w:w="4621"/>
        <w:gridCol w:w="4621"/>
      </w:tblGrid>
      <w:tr>
        <w:trPr/>
        <w:tc>
          <w:tcPr>
            <w:tcW w:w="4621" w:type="dxa"/>
            <w:tcBorders/>
          </w:tcPr>
          <w:p>
            <w:pPr>
              <w:pStyle w:val="Normal"/>
              <w:rPr/>
            </w:pPr>
            <w:r>
              <w:rPr>
                <w:b/>
              </w:rPr>
              <w:t xml:space="preserve">SIGNED</w:t>
            </w:r>
            <w:r>
              <w:rPr/>
              <w:t xml:space="preserve"> for and on behalf of the University:</w:t>
            </w:r>
          </w:p>
          <w:p>
            <w:pPr>
              <w:pStyle w:val="Normal"/>
              <w:rPr/>
            </w:pPr>
            <w:r>
              <w:rPr/>
              <w:t xml:space="preserve">Name: Dr Eleanor Marsh</w:t>
            </w:r>
          </w:p>
          <w:p>
            <w:pPr>
              <w:pStyle w:val="Normal"/>
              <w:rPr/>
            </w:pPr>
            <w:r>
              <w:rPr/>
              <w:t xml:space="preserve">Position: Director of Research &amp; Innovation Services</w:t>
            </w:r>
          </w:p>
          <w:p>
            <w:pPr>
              <w:pStyle w:val="Normal"/>
              <w:rPr/>
            </w:pPr>
            <w:r>
              <w:rPr/>
              <w:t xml:space="preserve">Signature</w:t>
            </w:r>
          </w:p>
        </w:tc>
        <w:tc>
          <w:tcPr>
            <w:tcW w:w="4621" w:type="dxa"/>
            <w:tcBorders/>
          </w:tcPr>
          <w:p>
            <w:pPr>
              <w:pStyle w:val="Normal"/>
              <w:rPr>
                <w:b/>
              </w:rPr>
            </w:pPr>
            <w:r>
              <w:rPr>
                <w:b/>
              </w:rPr>
              <w:t xml:space="preserve">SIGNED</w:t>
            </w:r>
            <w:r>
              <w:rPr/>
              <w:t xml:space="preserve"> for and on behalf of the Company:</w:t>
            </w:r>
          </w:p>
          <w:p>
            <w:pPr>
              <w:pStyle w:val="Normal"/>
              <w:rPr>
                <w:b/>
              </w:rPr>
            </w:pPr>
            <w:r>
              <w:rPr>
                <w:b/>
              </w:rPr>
              <w:t xml:space="preserve">Name: Daniel Cheung</w:t>
            </w:r>
          </w:p>
          <w:p>
            <w:pPr>
              <w:pStyle w:val="Normal"/>
              <w:rPr>
                <w:b/>
              </w:rPr>
            </w:pPr>
            <w:r>
              <w:rPr>
                <w:b/>
              </w:rPr>
              <w:t xml:space="preserve">Position: Chief Executive Officer</w:t>
            </w:r>
          </w:p>
          <w:p>
            <w:pPr>
              <w:pStyle w:val="Normal"/>
              <w:rPr>
                <w:b/>
              </w:rPr>
            </w:pPr>
            <w:r>
              <w:rPr>
                <w:b/>
              </w:rPr>
              <w:t xml:space="preserve">Signature</w:t>
            </w:r>
          </w:p>
          <w:p>
            <w:pPr>
              <w:pStyle w:val="Normal"/>
              <w:rPr/>
            </w:pPr>
            <w:r>
              <w:t xml:space="preserve"/>
            </w:r>
          </w:p>
        </w:tc>
      </w:tr>
    </w:tbl>
    <w:p>
      <w:pPr>
        <w:pStyle w:val="Normal"/>
        <w:rPr/>
      </w:pPr>
      <w:r>
        <w:t xml:space="preserve"/>
      </w:r>
    </w:p>
    <w:sectPr>
      <w:footerReference w:type="default" r:id="rId2"/>
      <w:type w:val="nextPage"/>
      <w:pgSz w:w="12240" w:h="15840"/>
      <w:pgMar w:top="1440" w:right="1440" w:bottom="1440" w:left="1440" w:header="0" w:footer="70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Verdana">
    <w:charset w:val="00" w:characterSet="windows-1252"/>
    <w:family w:val="swiss"/>
    <w:pitch w:val="variable"/>
  </w:font>
  <w:font w:name="Book Antiqua">
    <w:charset w:val="00" w:characterSet="windows-1252"/>
    <w:family w:val="roman"/>
    <w:pitch w:val="variable"/>
  </w:font>
  <w:font w:name="Gill Sans Std Light">
    <w:charset w:val="00" w:characterSet="windows-1252"/>
    <w:family w:val="swiss"/>
    <w:pitch w:val="variable"/>
  </w:font>
  <w:font w:name="Tahoma">
    <w:charset w:val="00" w:characterSet="windows-1252"/>
    <w:family w:val="swiss"/>
    <w:pitch w:val="variable"/>
  </w:font>
</w:fonts>
</file>

<file path=word/footer1.xml><?xml version="1.0" encoding="utf-8"?>
<w:ftr xmlns:a="http://schemas.openxmlformats.org/drawingml/2006/main"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right" w:leader="none" w:pos="9070"/>
      </w:tabs>
      <w:ind w:end="360"/>
      <w:jc w:val="start"/>
      <w:rPr>
        <w:sz w:val="18"/>
      </w:rPr>
    </w:pPr>
    <w:r>
      <w:rPr>
        <w:sz w:val="18"/>
      </w:rPr>
      <w:t>Sample Non-Disclosure Agreement – October 2005</w:t>
      <w:tab/>
    </w:r>
    <w:r>
      <mc:AlternateContent>
        <mc:Choice Requires="wps">
          <w:drawing>
            <wp:anchor distT="0" distB="0" distL="0" distR="0" simplePos="0" relativeHeight="8"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a:graphic xmlns:a="http://schemas.openxmlformats.org/drawingml/2006/main">
                <a:graphicData uri="http://schemas.microsoft.com/office/word/2010/wordprocessingShape">
                  <wps:wsp>
                    <wps:cNvSpPr txBox="1"/>
                    <wps:spPr>
                      <a:xfrm>
                        <a:off x="0" y="0"/>
                        <a:ext cx="14605" cy="173355"/>
                      </a:xfrm>
                      <a:prstGeom prst="rect"/>
                      <a:solidFill>
                        <a:srgbClr val="FFFFFF">
                          <a:alpha val="0"/>
                        </a:srgbClr>
                      </a:solidFill>
                    </wps:spPr>
                    <wps:txbx>
                      <w:txbxContent>
                        <w:p>
                          <w:pPr>
                            <w:pStyle w:val="Footer"/>
                            <w:rPr>
                              <w:rStyle w:val="PageNumber"/>
                            </w:rPr>
                          </w:pPr>
                          <w:r>
                            <w:rPr>
                              <w:rStyle w:val="PageNumber"/>
                            </w:rPr>
                            <w:t xml:space="preserve"/>
                          </w:r>
                        </w:p>
                      </w:txbxContent>
                    </wps:txbx>
                    <wps:bodyPr lIns="0" tIns="0" rIns="0" bIns="0" anchor="t">
                      <a:noAutofit/>
                    </wps:bodyPr>
                  </wps:wsp>
                </a:graphicData>
              </a:graphic>
            </wp:anchor>
          </w:drawing>
        </mc:Choice>
        <mc:Fallback>
          <w:pict>
            <v:rect style="position:absolute;rotation:-0;width:1.15pt;height:13.65pt;mso-wrap-distance-left:0pt;mso-wrap-distance-right:0pt;mso-wrap-distance-top:0pt;mso-wrap-distance-bottom:0pt;margin-top:0.05pt;mso-position-vertical-relative:text;margin-left:466.85pt;mso-position-horizontal:right;mso-position-horizontal-relative:margin" fillcolor="#FFFFFF">
              <v:fill opacity="0f"/>
              <v:textbox inset="0in,0in,0in,0in">
                <w:txbxContent>
                  <w:p>
                    <w:pPr>
                      <w:pStyle w:val="Footer"/>
                      <w:rPr>
                        <w:rStyle w:val="PageNumber"/>
                      </w:rPr>
                    </w:pPr>
                    <w:r>
                      <w:rPr>
                        <w:rStyle w:val="PageNumber"/>
                      </w:rPr>
                      <w:t xml:space="preserve"/>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720"/>
        </w:tabs>
        <w:ind w:start="720" w:hanging="720"/>
      </w:pPr>
      <w:rPr>
        <w:rFonts w:ascii="Verdana" w:hAnsi="Verdana" w:cs="Verdana"/>
        <w:b w:val="false"/>
        <w:i w:val="false"/>
        <w:sz w:val="20"/>
        <w:u w:val="none"/>
      </w:rPr>
    </w:lvl>
    <w:lvl w:ilvl="1">
      <w:start w:val="1"/>
      <w:numFmt w:val="decimal"/>
      <w:pStyle w:val="Heading2"/>
      <w:lvlText w:val="%1.%2."/>
      <w:lvlJc w:val="start"/>
      <w:pPr>
        <w:tabs>
          <w:tab w:val="num" w:pos="1440"/>
        </w:tabs>
        <w:ind w:start="1440" w:hanging="720"/>
      </w:pPr>
      <w:rPr>
        <w:rFonts w:ascii="Verdana" w:hAnsi="Verdana" w:cs="Verdana"/>
        <w:sz w:val="20"/>
      </w:rPr>
    </w:lvl>
    <w:lvl w:ilvl="2">
      <w:start w:val="1"/>
      <w:numFmt w:val="decimal"/>
      <w:pStyle w:val="Heading3"/>
      <w:lvlText w:val="%1.%2.%3."/>
      <w:lvlJc w:val="start"/>
      <w:pPr>
        <w:tabs>
          <w:tab w:val="num" w:pos="2517"/>
        </w:tabs>
        <w:ind w:start="2517" w:hanging="1077"/>
      </w:pPr>
      <w:rPr>
        <w:rFonts w:ascii="Verdana" w:hAnsi="Verdana" w:cs="Verdana"/>
        <w:sz w:val="20"/>
      </w:rPr>
    </w:lvl>
    <w:lvl w:ilvl="3">
      <w:start w:val="1"/>
      <w:numFmt w:val="lowerLetter"/>
      <w:pStyle w:val="Heading4"/>
      <w:lvlText w:val="%4)"/>
      <w:lvlJc w:val="start"/>
      <w:pPr>
        <w:tabs>
          <w:tab w:val="num" w:pos="2517"/>
        </w:tabs>
        <w:ind w:start="2517" w:hanging="1077"/>
      </w:pPr>
      <w:rPr>
        <w:rFonts w:ascii="Verdana" w:hAnsi="Verdana" w:cs="Verdana"/>
        <w:sz w:val="20"/>
      </w:rPr>
    </w:lvl>
    <w:lvl w:ilvl="4">
      <w:start w:val="1"/>
      <w:numFmt w:val="lowerRoman"/>
      <w:pStyle w:val="Heading5"/>
      <w:lvlText w:val="%5)"/>
      <w:lvlJc w:val="start"/>
      <w:pPr>
        <w:tabs>
          <w:tab w:val="num" w:pos="2517"/>
        </w:tabs>
        <w:ind w:start="2517" w:hanging="1077"/>
      </w:pPr>
      <w:rPr>
        <w:rFonts w:ascii="Verdana" w:hAnsi="Verdana" w:cs="Verdana"/>
        <w:sz w:val="20"/>
      </w:rPr>
    </w:lvl>
    <w:lvl w:ilvl="5">
      <w:start w:val="1"/>
      <w:numFmt w:val="bullet"/>
      <w:lvlText w:val=""/>
      <w:lvlJc w:val="start"/>
      <w:pPr>
        <w:tabs>
          <w:tab w:val="num" w:pos="2517"/>
        </w:tabs>
        <w:ind w:start="2517" w:hanging="1077"/>
      </w:pPr>
      <w:rPr>
        <w:rFonts w:hint="default" w:ascii="Symbol" w:hAnsi="Symbol" w:cs="Symbol"/>
        <w:color w:val="auto"/>
        <w:sz w:val="24"/>
      </w:rPr>
    </w:lvl>
    <w:lvl w:ilvl="6">
      <w:start w:val="1"/>
      <w:numFmt w:val="bullet"/>
      <w:lvlText w:val="-"/>
      <w:lvlJc w:val="start"/>
      <w:pPr>
        <w:tabs>
          <w:tab w:val="num" w:pos="2517"/>
        </w:tabs>
        <w:ind w:start="2517" w:hanging="1077"/>
      </w:pPr>
      <w:rPr>
        <w:rFonts w:hint="default" w:ascii="Book Antiqua" w:hAnsi="Book Antiqua" w:cs="Book Antiqua"/>
        <w:color w:val="auto"/>
        <w:sz w:val="24"/>
      </w:rPr>
    </w:lvl>
    <w:lvl w:ilvl="7">
      <w:start w:val="1"/>
      <w:numFmt w:val="decimal"/>
      <w:lvlText w:val="%1.%2.%3.%4.%5.%6.%7.%8."/>
      <w:lvlJc w:val="start"/>
      <w:pPr>
        <w:tabs>
          <w:tab w:val="num" w:pos="4320"/>
        </w:tabs>
        <w:ind w:start="3744" w:hanging="1224"/>
      </w:pPr>
    </w:lvl>
    <w:lvl w:ilvl="8">
      <w:start w:val="1"/>
      <w:numFmt w:val="decimal"/>
      <w:lvlText w:val="%1.%2.%3.%4.%5.%6.%7.%8.%9."/>
      <w:lvlJc w:val="start"/>
      <w:pPr>
        <w:tabs>
          <w:tab w:val="num" w:pos="5040"/>
        </w:tabs>
        <w:ind w:start="4320" w:hanging="1440"/>
      </w:pPr>
    </w:lvl>
  </w:abstractNum>
  <w:abstractNum w:abstractNumId="2">
    <w:lvl w:ilvl="0">
      <w:start w:val="1"/>
      <w:numFmt w:val="decimal"/>
      <w:lvlText w:val="%1."/>
      <w:lvlJc w:val="start"/>
      <w:pPr>
        <w:tabs>
          <w:tab w:val="num" w:pos="720"/>
        </w:tabs>
        <w:ind w:start="720" w:hanging="720"/>
      </w:pPr>
    </w:lvl>
    <w:lvl w:ilvl="1">
      <w:start w:val="1"/>
      <w:numFmt w:val="decimal"/>
      <w:lvlText w:val="%1.%2."/>
      <w:lvlJc w:val="start"/>
      <w:pPr>
        <w:tabs>
          <w:tab w:val="num" w:pos="1440"/>
        </w:tabs>
        <w:ind w:start="1440" w:hanging="720"/>
      </w:pPr>
    </w:lvl>
    <w:lvl w:ilvl="2">
      <w:start w:val="1"/>
      <w:numFmt w:val="decimal"/>
      <w:lvlText w:val="%1.%2.%3."/>
      <w:lvlJc w:val="start"/>
      <w:pPr>
        <w:tabs>
          <w:tab w:val="num" w:pos="2304"/>
        </w:tabs>
        <w:ind w:start="2304" w:hanging="864"/>
      </w:pPr>
    </w:lvl>
    <w:lvl w:ilvl="3">
      <w:start w:val="1"/>
      <w:numFmt w:val="decimal"/>
      <w:lvlText w:val="%1.%2.%3.%4."/>
      <w:lvlJc w:val="start"/>
      <w:pPr>
        <w:tabs>
          <w:tab w:val="num" w:pos="3168"/>
        </w:tabs>
        <w:ind w:start="3168" w:hanging="864"/>
      </w:pPr>
    </w:lvl>
    <w:lvl w:ilvl="4">
      <w:start w:val="1"/>
      <w:numFmt w:val="decimal"/>
      <w:lvlText w:val="%1.%2.%3.%4.%5."/>
      <w:lvlJc w:val="start"/>
      <w:pPr>
        <w:tabs>
          <w:tab w:val="num" w:pos="2520"/>
        </w:tabs>
        <w:ind w:start="2232" w:hanging="792"/>
      </w:pPr>
    </w:lvl>
    <w:lvl w:ilvl="5">
      <w:start w:val="1"/>
      <w:numFmt w:val="decimal"/>
      <w:lvlText w:val="%1.%2.%3.%4.%5.%6."/>
      <w:lvlJc w:val="start"/>
      <w:pPr>
        <w:tabs>
          <w:tab w:val="num" w:pos="4320"/>
        </w:tabs>
        <w:ind w:start="2736" w:hanging="936"/>
      </w:pPr>
    </w:lvl>
    <w:lvl w:ilvl="6">
      <w:start w:val="1"/>
      <w:numFmt w:val="decimal"/>
      <w:lvlText w:val="%1.%2.%3.%4.%5.%6.%7."/>
      <w:lvlJc w:val="start"/>
      <w:pPr>
        <w:tabs>
          <w:tab w:val="num" w:pos="5400"/>
        </w:tabs>
        <w:ind w:start="3240" w:hanging="1080"/>
      </w:pPr>
    </w:lvl>
    <w:lvl w:ilvl="7">
      <w:start w:val="1"/>
      <w:numFmt w:val="decimal"/>
      <w:lvlText w:val="%1.%2.%3.%4.%5.%6.%7.%8."/>
      <w:lvlJc w:val="start"/>
      <w:pPr>
        <w:tabs>
          <w:tab w:val="num" w:pos="6120"/>
        </w:tabs>
        <w:ind w:start="3744" w:hanging="1224"/>
      </w:pPr>
    </w:lvl>
    <w:lvl w:ilvl="8">
      <w:start w:val="1"/>
      <w:numFmt w:val="decimal"/>
      <w:lvlText w:val="%1.%2.%3.%4.%5.%6.%7.%8.%9."/>
      <w:lvlJc w:val="start"/>
      <w:pPr>
        <w:tabs>
          <w:tab w:val="num" w:pos="6840"/>
        </w:tabs>
        <w:ind w:start="4320" w:hanging="1440"/>
      </w:pPr>
    </w:lvl>
  </w:abstractNum>
  <w:abstractNum w:abstractNumId="3">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4">
    <w:lvl w:ilvl="0">
      <w:start w:val="3"/>
      <w:numFmt w:val="decimal"/>
      <w:lvlText w:val="%1."/>
      <w:lvlJc w:val="start"/>
      <w:pPr>
        <w:tabs>
          <w:tab w:val="num" w:pos="360"/>
        </w:tabs>
        <w:ind w:start="360" w:hanging="360"/>
      </w:pPr>
      <w:rPr>
        <w:b w:val="false"/>
      </w:rPr>
    </w:lvl>
    <w:lvl w:ilvl="1">
      <w:start w:val="2"/>
      <w:numFmt w:val="decimal"/>
      <w:isLgl/>
      <w:lvlText w:val="%1.%2"/>
      <w:lvlJc w:val="start"/>
      <w:pPr>
        <w:tabs>
          <w:tab w:val="num" w:pos="720"/>
        </w:tabs>
        <w:ind w:start="720" w:hanging="720"/>
      </w:pPr>
      <w:rPr/>
    </w:lvl>
    <w:lvl w:ilvl="2">
      <w:start w:val="1"/>
      <w:numFmt w:val="decimal"/>
      <w:isLgl/>
      <w:lvlText w:val="%1.%2.%3"/>
      <w:lvlJc w:val="start"/>
      <w:pPr>
        <w:tabs>
          <w:tab w:val="num" w:pos="720"/>
        </w:tabs>
        <w:ind w:start="720" w:hanging="720"/>
      </w:pPr>
      <w:rPr/>
    </w:lvl>
    <w:lvl w:ilvl="3">
      <w:start w:val="1"/>
      <w:numFmt w:val="decimal"/>
      <w:isLgl/>
      <w:lvlText w:val="%1.%2.%3.%4"/>
      <w:lvlJc w:val="start"/>
      <w:pPr>
        <w:tabs>
          <w:tab w:val="num" w:pos="1080"/>
        </w:tabs>
        <w:ind w:start="1080" w:hanging="1080"/>
      </w:pPr>
      <w:rPr/>
    </w:lvl>
    <w:lvl w:ilvl="4">
      <w:start w:val="1"/>
      <w:numFmt w:val="decimal"/>
      <w:isLgl/>
      <w:lvlText w:val="%1.%2.%3.%4.%5"/>
      <w:lvlJc w:val="start"/>
      <w:pPr>
        <w:tabs>
          <w:tab w:val="num" w:pos="1440"/>
        </w:tabs>
        <w:ind w:start="1440" w:hanging="1440"/>
      </w:pPr>
      <w:rPr/>
    </w:lvl>
    <w:lvl w:ilvl="5">
      <w:start w:val="1"/>
      <w:numFmt w:val="decimal"/>
      <w:isLgl/>
      <w:lvlText w:val="%1.%2.%3.%4.%5.%6"/>
      <w:lvlJc w:val="start"/>
      <w:pPr>
        <w:tabs>
          <w:tab w:val="num" w:pos="1440"/>
        </w:tabs>
        <w:ind w:start="1440" w:hanging="1440"/>
      </w:pPr>
      <w:rPr/>
    </w:lvl>
    <w:lvl w:ilvl="6">
      <w:start w:val="1"/>
      <w:numFmt w:val="decimal"/>
      <w:isLgl/>
      <w:lvlText w:val="%1.%2.%3.%4.%5.%6.%7"/>
      <w:lvlJc w:val="start"/>
      <w:pPr>
        <w:tabs>
          <w:tab w:val="num" w:pos="1800"/>
        </w:tabs>
        <w:ind w:start="1800" w:hanging="1800"/>
      </w:pPr>
      <w:rPr/>
    </w:lvl>
    <w:lvl w:ilvl="7">
      <w:start w:val="1"/>
      <w:numFmt w:val="decimal"/>
      <w:isLgl/>
      <w:lvlText w:val="%1.%2.%3.%4.%5.%6.%7.%8"/>
      <w:lvlJc w:val="start"/>
      <w:pPr>
        <w:tabs>
          <w:tab w:val="num" w:pos="2160"/>
        </w:tabs>
        <w:ind w:start="2160" w:hanging="2160"/>
      </w:pPr>
      <w:rPr/>
    </w:lvl>
    <w:lvl w:ilvl="8">
      <w:start w:val="1"/>
      <w:numFmt w:val="decimal"/>
      <w:isLgl/>
      <w:lvlText w:val="%1.%2.%3.%4.%5.%6.%7.%8.%9"/>
      <w:lvlJc w:val="start"/>
      <w:pPr>
        <w:tabs>
          <w:tab w:val="num" w:pos="2160"/>
        </w:tabs>
        <w:ind w:start="2160" w:hanging="2160"/>
      </w:pPr>
      <w:rPr/>
    </w:lvl>
  </w:abstractNum>
  <w:abstractNum w:abstractNumId="5">
    <w:lvl w:ilvl="0">
      <w:start w:val="1"/>
      <w:numFmt w:val="decimal"/>
      <w:lvlText w:val="%1)"/>
      <w:lvlJc w:val="start"/>
      <w:pPr>
        <w:tabs>
          <w:tab w:val="num" w:pos="720"/>
        </w:tabs>
        <w:ind w:start="720" w:hanging="720"/>
      </w:pPr>
    </w:lvl>
    <w:lvl w:ilvl="1">
      <w:start w:val="1"/>
      <w:numFmt w:val="lowerLetter"/>
      <w:lvlText w:val="%2)"/>
      <w:lvlJc w:val="start"/>
      <w:pPr>
        <w:tabs>
          <w:tab w:val="num" w:pos="1440"/>
        </w:tabs>
        <w:ind w:start="1440" w:hanging="720"/>
      </w:pPr>
    </w:lvl>
    <w:lvl w:ilvl="2">
      <w:start w:val="1"/>
      <w:numFmt w:val="lowerRoman"/>
      <w:lvlText w:val="%3)"/>
      <w:lvlJc w:val="start"/>
      <w:pPr>
        <w:tabs>
          <w:tab w:val="num" w:pos="2160"/>
        </w:tabs>
        <w:ind w:start="2160" w:hanging="720"/>
      </w:pPr>
    </w:lvl>
    <w:lvl w:ilvl="3">
      <w:start w:val="1"/>
      <w:numFmt w:val="bullet"/>
      <w:lvlText w:val=""/>
      <w:lvlJc w:val="start"/>
      <w:pPr>
        <w:tabs>
          <w:tab w:val="num" w:pos="2880"/>
        </w:tabs>
        <w:ind w:start="2880" w:hanging="720"/>
      </w:pPr>
      <w:rPr>
        <w:rFonts w:hint="default" w:ascii="Symbol" w:hAnsi="Symbol" w:cs="Symbol"/>
        <w:color w:val="auto"/>
      </w:rPr>
    </w:lvl>
    <w:lvl w:ilvl="4">
      <w:start w:val="1"/>
      <w:numFmt w:val="lowerLetter"/>
      <w:lvlText w:val="(%5)"/>
      <w:lvlJc w:val="start"/>
      <w:pPr>
        <w:tabs>
          <w:tab w:val="num" w:pos="1800"/>
        </w:tabs>
        <w:ind w:start="1800" w:hanging="360"/>
      </w:pPr>
    </w:lvl>
    <w:lvl w:ilvl="5">
      <w:start w:val="1"/>
      <w:numFmt w:val="lowerRoman"/>
      <w:lvlText w:val="(%6)"/>
      <w:lvlJc w:val="start"/>
      <w:pPr>
        <w:tabs>
          <w:tab w:val="num" w:pos="2160"/>
        </w:tabs>
        <w:ind w:start="2160" w:hanging="360"/>
      </w:pPr>
    </w:lvl>
    <w:lvl w:ilvl="6">
      <w:start w:val="1"/>
      <w:numFmt w:val="decimal"/>
      <w:lvlText w:val="%7."/>
      <w:lvlJc w:val="start"/>
      <w:pPr>
        <w:tabs>
          <w:tab w:val="num" w:pos="2520"/>
        </w:tabs>
        <w:ind w:start="2520" w:hanging="360"/>
      </w:pPr>
    </w:lvl>
    <w:lvl w:ilvl="7">
      <w:start w:val="1"/>
      <w:numFmt w:val="lowerLetter"/>
      <w:lvlText w:val="%8."/>
      <w:lvlJc w:val="start"/>
      <w:pPr>
        <w:tabs>
          <w:tab w:val="num" w:pos="2880"/>
        </w:tabs>
        <w:ind w:start="2880" w:hanging="360"/>
      </w:pPr>
    </w:lvl>
    <w:lvl w:ilvl="8">
      <w:start w:val="1"/>
      <w:numFmt w:val="lowerRoman"/>
      <w:lvlText w:val="%9."/>
      <w:lvlJc w:val="start"/>
      <w:pPr>
        <w:tabs>
          <w:tab w:val="num" w:pos="3240"/>
        </w:tabs>
        <w:ind w:start="3240" w:hanging="360"/>
      </w:pPr>
    </w:lvl>
  </w:abstractNum>
  <w:abstractNum w:abstractNumId="6">
    <w:lvl w:ilvl="0">
      <w:start w:val="2"/>
      <w:numFmt w:val="decimal"/>
      <w:lvlText w:val="%1"/>
      <w:lvlJc w:val="start"/>
      <w:pPr>
        <w:tabs>
          <w:tab w:val="num" w:pos="510"/>
        </w:tabs>
        <w:ind w:start="510" w:hanging="510"/>
      </w:pPr>
      <w:rPr/>
    </w:lvl>
    <w:lvl w:ilvl="1">
      <w:start w:val="2"/>
      <w:numFmt w:val="decimal"/>
      <w:lvlText w:val="%1.%2"/>
      <w:lvlJc w:val="start"/>
      <w:pPr>
        <w:tabs>
          <w:tab w:val="num" w:pos="1080"/>
        </w:tabs>
        <w:ind w:start="1080" w:hanging="720"/>
      </w:pPr>
      <w:rPr/>
    </w:lvl>
    <w:lvl w:ilvl="2">
      <w:start w:val="6"/>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7">
    <w:lvl w:ilvl="0">
      <w:start w:val="2"/>
      <w:numFmt w:val="decimal"/>
      <w:lvlText w:val="(%1)"/>
      <w:lvlJc w:val="start"/>
      <w:pPr>
        <w:tabs>
          <w:tab w:val="num" w:pos="720"/>
        </w:tabs>
        <w:ind w:start="720" w:hanging="720"/>
      </w:pPr>
      <w:rPr>
        <w:b/>
      </w:rPr>
    </w:lvl>
  </w:abstractNum>
  <w:abstractNum w:abstractNumId="8">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9">
    <w:lvl w:ilvl="0">
      <w:start w:val="1"/>
      <w:numFmt w:val="decimal"/>
      <w:lvlText w:val="%1."/>
      <w:lvlJc w:val="start"/>
      <w:pPr>
        <w:tabs>
          <w:tab w:val="num" w:pos="720"/>
        </w:tabs>
        <w:ind w:start="720" w:hanging="720"/>
      </w:pPr>
      <w:rPr>
        <w:rFonts w:ascii="Book Antiqua" w:hAnsi="Book Antiqua" w:cs="Book Antiqua"/>
        <w:sz w:val="24"/>
      </w:rPr>
    </w:lvl>
    <w:lvl w:ilvl="1">
      <w:start w:val="1"/>
      <w:numFmt w:val="lowerLetter"/>
      <w:lvlText w:val="%2)"/>
      <w:lvlJc w:val="start"/>
      <w:pPr>
        <w:tabs>
          <w:tab w:val="num" w:pos="1440"/>
        </w:tabs>
        <w:ind w:start="1440" w:hanging="720"/>
      </w:pPr>
      <w:rPr>
        <w:rFonts w:ascii="Book Antiqua" w:hAnsi="Book Antiqua" w:cs="Book Antiqua"/>
        <w:sz w:val="24"/>
      </w:rPr>
    </w:lvl>
    <w:lvl w:ilvl="2">
      <w:start w:val="1"/>
      <w:numFmt w:val="lowerRoman"/>
      <w:lvlText w:val="%3)"/>
      <w:lvlJc w:val="start"/>
      <w:pPr>
        <w:tabs>
          <w:tab w:val="num" w:pos="2160"/>
        </w:tabs>
        <w:ind w:start="2160" w:hanging="720"/>
      </w:pPr>
      <w:rPr>
        <w:rFonts w:ascii="Book Antiqua" w:hAnsi="Book Antiqua" w:cs="Book Antiqua"/>
        <w:sz w:val="24"/>
      </w:rPr>
    </w:lvl>
    <w:lvl w:ilvl="3">
      <w:start w:val="1"/>
      <w:numFmt w:val="bullet"/>
      <w:lvlText w:val=""/>
      <w:lvlJc w:val="start"/>
      <w:pPr>
        <w:tabs>
          <w:tab w:val="num" w:pos="2160"/>
        </w:tabs>
        <w:ind w:start="2160" w:hanging="720"/>
      </w:pPr>
      <w:rPr>
        <w:rFonts w:hint="default" w:ascii="Symbol" w:hAnsi="Symbol" w:cs="Symbol"/>
        <w:color w:val="auto"/>
        <w:sz w:val="24"/>
      </w:rPr>
    </w:lvl>
    <w:lvl w:ilvl="4">
      <w:start w:val="1"/>
      <w:numFmt w:val="bullet"/>
      <w:lvlText w:val=""/>
      <w:lvlJc w:val="start"/>
      <w:pPr>
        <w:tabs>
          <w:tab w:val="num" w:pos="2160"/>
        </w:tabs>
        <w:ind w:start="2160" w:hanging="720"/>
      </w:pPr>
      <w:rPr>
        <w:rFonts w:hint="default" w:ascii="Symbol" w:hAnsi="Symbol" w:cs="Symbol"/>
        <w:color w:val="auto"/>
        <w:sz w:val="24"/>
      </w:rPr>
    </w:lvl>
    <w:lvl w:ilvl="5">
      <w:start w:val="1"/>
      <w:numFmt w:val="none"/>
      <w:suff w:val="nothing"/>
      <w:lvlText w:val=""/>
      <w:lvlJc w:val="start"/>
      <w:pPr>
        <w:tabs>
          <w:tab w:val="num" w:pos="2520"/>
        </w:tabs>
        <w:ind w:start="2520" w:hanging="1080"/>
      </w:pPr>
      <w:rPr/>
    </w:lvl>
    <w:lvl w:ilvl="6">
      <w:start w:val="1"/>
      <w:numFmt w:val="none"/>
      <w:suff w:val="nothing"/>
      <w:lvlText w:val=""/>
      <w:lvlJc w:val="start"/>
      <w:pPr>
        <w:tabs>
          <w:tab w:val="num" w:pos="2520"/>
        </w:tabs>
        <w:ind w:start="2520" w:hanging="1080"/>
      </w:pPr>
      <w:rPr/>
    </w:lvl>
    <w:lvl w:ilvl="7">
      <w:start w:val="1"/>
      <w:numFmt w:val="none"/>
      <w:suff w:val="nothing"/>
      <w:lvlText w:val="%1.%2.%3.%4.%5.%6%7%8."/>
      <w:lvlJc w:val="start"/>
      <w:pPr>
        <w:tabs>
          <w:tab w:val="num" w:pos="4320"/>
        </w:tabs>
        <w:ind w:start="3744" w:hanging="1224"/>
      </w:pPr>
    </w:lvl>
    <w:lvl w:ilvl="8">
      <w:start w:val="1"/>
      <w:numFmt w:val="none"/>
      <w:suff w:val="nothing"/>
      <w:lvlText w:val="%1.%2.%3.%4.%5.%6%7%8%9."/>
      <w:lvlJc w:val="start"/>
      <w:pPr>
        <w:tabs>
          <w:tab w:val="num" w:pos="5040"/>
        </w:tabs>
        <w:ind w:start="4320" w:hanging="1440"/>
      </w:pPr>
    </w:lvl>
  </w:abstractNum>
  <w:abstractNum w:abstractNumId="10">
    <w:lvl w:ilvl="0">
      <w:start w:val="4"/>
      <w:numFmt w:val="decimal"/>
      <w:lvlText w:val="%1"/>
      <w:lvlJc w:val="start"/>
      <w:pPr>
        <w:tabs>
          <w:tab w:val="num" w:pos="360"/>
        </w:tabs>
        <w:ind w:start="360" w:hanging="360"/>
      </w:pPr>
      <w:rPr/>
    </w:lvl>
    <w:lvl w:ilvl="1">
      <w:start w:val="1"/>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1">
    <w:lvl w:ilvl="0">
      <w:start w:val="1"/>
      <w:numFmt w:val="decimal"/>
      <w:lvlText w:val="%1."/>
      <w:lvlJc w:val="start"/>
      <w:pPr>
        <w:tabs>
          <w:tab w:val="num" w:pos="720"/>
        </w:tabs>
        <w:ind w:start="720" w:hanging="720"/>
      </w:pPr>
      <w:rPr>
        <w:rFonts w:ascii="Book Antiqua" w:hAnsi="Book Antiqua" w:cs="Book Antiqua"/>
        <w:sz w:val="24"/>
      </w:rPr>
    </w:lvl>
    <w:lvl w:ilvl="1">
      <w:start w:val="1"/>
      <w:numFmt w:val="decimal"/>
      <w:lvlText w:val="%1.%2."/>
      <w:lvlJc w:val="start"/>
      <w:pPr>
        <w:tabs>
          <w:tab w:val="num" w:pos="1440"/>
        </w:tabs>
        <w:ind w:start="1440" w:hanging="720"/>
      </w:pPr>
      <w:rPr>
        <w:rFonts w:ascii="Verdana" w:hAnsi="Verdana" w:cs="Verdana"/>
        <w:b w:val="false"/>
        <w:i w:val="false"/>
        <w:color w:val="auto"/>
        <w:sz w:val="20"/>
      </w:rPr>
    </w:lvl>
    <w:lvl w:ilvl="2">
      <w:start w:val="1"/>
      <w:numFmt w:val="decimal"/>
      <w:lvlText w:val="%1.%2.%3."/>
      <w:lvlJc w:val="start"/>
      <w:pPr>
        <w:tabs>
          <w:tab w:val="num" w:pos="2517"/>
        </w:tabs>
        <w:ind w:start="2517" w:hanging="1077"/>
      </w:pPr>
      <w:rPr>
        <w:rFonts w:ascii="Verdana" w:hAnsi="Verdana" w:cs="Verdana"/>
        <w:b w:val="false"/>
        <w:i w:val="false"/>
        <w:sz w:val="20"/>
      </w:rPr>
    </w:lvl>
    <w:lvl w:ilvl="3">
      <w:start w:val="1"/>
      <w:numFmt w:val="lowerLetter"/>
      <w:lvlText w:val="%4)"/>
      <w:lvlJc w:val="start"/>
      <w:pPr>
        <w:tabs>
          <w:tab w:val="num" w:pos="2517"/>
        </w:tabs>
        <w:ind w:start="2517" w:hanging="1077"/>
      </w:pPr>
      <w:rPr>
        <w:rFonts w:ascii="Verdana" w:hAnsi="Verdana" w:cs="Verdana"/>
        <w:b w:val="false"/>
        <w:i w:val="false"/>
        <w:color w:val="auto"/>
        <w:sz w:val="20"/>
      </w:rPr>
    </w:lvl>
    <w:lvl w:ilvl="4">
      <w:start w:val="1"/>
      <w:numFmt w:val="lowerRoman"/>
      <w:lvlText w:val="%5)"/>
      <w:lvlJc w:val="start"/>
      <w:pPr>
        <w:tabs>
          <w:tab w:val="num" w:pos="2517"/>
        </w:tabs>
        <w:ind w:start="2517" w:hanging="1077"/>
      </w:pPr>
      <w:rPr>
        <w:rFonts w:ascii="Verdana" w:hAnsi="Verdana" w:cs="Verdana"/>
        <w:b w:val="false"/>
        <w:i w:val="false"/>
        <w:sz w:val="20"/>
      </w:rPr>
    </w:lvl>
    <w:lvl w:ilvl="5">
      <w:start w:val="1"/>
      <w:numFmt w:val="bullet"/>
      <w:lvlText w:val=""/>
      <w:lvlJc w:val="start"/>
      <w:pPr>
        <w:tabs>
          <w:tab w:val="num" w:pos="2517"/>
        </w:tabs>
        <w:ind w:start="2517" w:hanging="1077"/>
      </w:pPr>
      <w:rPr>
        <w:rFonts w:hint="default" w:ascii="Symbol" w:hAnsi="Symbol" w:cs="Symbol"/>
        <w:color w:val="auto"/>
        <w:sz w:val="24"/>
      </w:rPr>
    </w:lvl>
    <w:lvl w:ilvl="6">
      <w:start w:val="1"/>
      <w:numFmt w:val="bullet"/>
      <w:lvlText w:val="-"/>
      <w:lvlJc w:val="start"/>
      <w:pPr>
        <w:tabs>
          <w:tab w:val="num" w:pos="2517"/>
        </w:tabs>
        <w:ind w:start="2517" w:hanging="1077"/>
      </w:pPr>
      <w:rPr>
        <w:rFonts w:hint="default" w:ascii="Book Antiqua" w:hAnsi="Book Antiqua" w:cs="Book Antiqua"/>
        <w:color w:val="auto"/>
        <w:sz w:val="24"/>
      </w:rPr>
    </w:lvl>
    <w:lvl w:ilvl="7">
      <w:start w:val="1"/>
      <w:numFmt w:val="decimal"/>
      <w:lvlText w:val="%1.%2.%3.%4.%5.%6.%7.%8."/>
      <w:lvlJc w:val="start"/>
      <w:pPr>
        <w:tabs>
          <w:tab w:val="num" w:pos="3744"/>
        </w:tabs>
        <w:ind w:start="3744" w:hanging="1224"/>
      </w:pPr>
    </w:lvl>
    <w:lvl w:ilvl="8">
      <w:start w:val="1"/>
      <w:numFmt w:val="decimal"/>
      <w:lvlText w:val="%1.%2.%3.%4.%5.%6.%7.%8.%9."/>
      <w:lvlJc w:val="start"/>
      <w:pPr>
        <w:tabs>
          <w:tab w:val="num" w:pos="5040"/>
        </w:tabs>
        <w:ind w:start="4320" w:hanging="1440"/>
      </w:pPr>
    </w:lvl>
  </w:abstractNum>
  <w:abstractNum w:abstractNumId="12">
    <w:lvl w:ilvl="0">
      <w:start w:val="5"/>
      <w:numFmt w:val="decimal"/>
      <w:lvlText w:val="%1"/>
      <w:lvlJc w:val="start"/>
      <w:pPr>
        <w:tabs>
          <w:tab w:val="num" w:pos="720"/>
        </w:tabs>
        <w:ind w:start="720" w:hanging="720"/>
      </w:pPr>
      <w:rPr/>
    </w:lvl>
    <w:lvl w:ilvl="1">
      <w:start w:val="2"/>
      <w:numFmt w:val="decimal"/>
      <w:lvlText w:val="%1.%2"/>
      <w:lvlJc w:val="start"/>
      <w:pPr>
        <w:tabs>
          <w:tab w:val="num" w:pos="720"/>
        </w:tabs>
        <w:ind w:start="720" w:hanging="72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1080"/>
        </w:tabs>
        <w:ind w:start="1080" w:hanging="1080"/>
      </w:pPr>
      <w:rPr/>
    </w:lvl>
    <w:lvl w:ilvl="4">
      <w:start w:val="1"/>
      <w:numFmt w:val="decimal"/>
      <w:lvlText w:val="%1.%2.%3.%4.%5"/>
      <w:lvlJc w:val="start"/>
      <w:pPr>
        <w:tabs>
          <w:tab w:val="num" w:pos="1440"/>
        </w:tabs>
        <w:ind w:start="1440" w:hanging="1440"/>
      </w:pPr>
      <w:rPr/>
    </w:lvl>
    <w:lvl w:ilvl="5">
      <w:start w:val="1"/>
      <w:numFmt w:val="decimal"/>
      <w:lvlText w:val="%1.%2.%3.%4.%5.%6"/>
      <w:lvlJc w:val="start"/>
      <w:pPr>
        <w:tabs>
          <w:tab w:val="num" w:pos="1440"/>
        </w:tabs>
        <w:ind w:start="1440" w:hanging="1440"/>
      </w:pPr>
      <w:rPr/>
    </w:lvl>
    <w:lvl w:ilvl="6">
      <w:start w:val="1"/>
      <w:numFmt w:val="decimal"/>
      <w:lvlText w:val="%1.%2.%3.%4.%5.%6.%7"/>
      <w:lvlJc w:val="start"/>
      <w:pPr>
        <w:tabs>
          <w:tab w:val="num" w:pos="1800"/>
        </w:tabs>
        <w:ind w:start="1800" w:hanging="1800"/>
      </w:pPr>
      <w:rPr/>
    </w:lvl>
    <w:lvl w:ilvl="7">
      <w:start w:val="1"/>
      <w:numFmt w:val="decimal"/>
      <w:lvlText w:val="%1.%2.%3.%4.%5.%6.%7.%8"/>
      <w:lvlJc w:val="start"/>
      <w:pPr>
        <w:tabs>
          <w:tab w:val="num" w:pos="2160"/>
        </w:tabs>
        <w:ind w:start="2160" w:hanging="2160"/>
      </w:pPr>
      <w:rPr/>
    </w:lvl>
    <w:lvl w:ilvl="8">
      <w:start w:val="1"/>
      <w:numFmt w:val="decimal"/>
      <w:lvlText w:val="%1.%2.%3.%4.%5.%6.%7.%8.%9"/>
      <w:lvlJc w:val="start"/>
      <w:pPr>
        <w:tabs>
          <w:tab w:val="num" w:pos="2160"/>
        </w:tabs>
        <w:ind w:start="2160" w:hanging="2160"/>
      </w:pPr>
      <w:rPr/>
    </w:lvl>
  </w:abstractNum>
  <w:abstractNum w:abstractNumId="13">
    <w:lvl w:ilvl="0">
      <w:start w:val="4"/>
      <w:numFmt w:val="decimal"/>
      <w:lvlText w:val="%1"/>
      <w:lvlJc w:val="start"/>
      <w:pPr>
        <w:tabs>
          <w:tab w:val="num" w:pos="510"/>
        </w:tabs>
        <w:ind w:start="510" w:hanging="510"/>
      </w:pPr>
      <w:rPr/>
    </w:lvl>
    <w:lvl w:ilvl="1">
      <w:start w:val="3"/>
      <w:numFmt w:val="decimal"/>
      <w:lvlText w:val="%1.%2"/>
      <w:lvlJc w:val="start"/>
      <w:pPr>
        <w:tabs>
          <w:tab w:val="num" w:pos="1080"/>
        </w:tabs>
        <w:ind w:start="1080" w:hanging="720"/>
      </w:pPr>
      <w:rPr/>
    </w:lvl>
    <w:lvl w:ilvl="2">
      <w:start w:val="1"/>
      <w:numFmt w:val="decimal"/>
      <w:lvlText w:val="%1.%2.%3"/>
      <w:lvlJc w:val="start"/>
      <w:pPr>
        <w:tabs>
          <w:tab w:val="num" w:pos="1440"/>
        </w:tabs>
        <w:ind w:start="1440" w:hanging="720"/>
      </w:pPr>
      <w:rPr/>
    </w:lvl>
    <w:lvl w:ilvl="3">
      <w:start w:val="1"/>
      <w:numFmt w:val="decimal"/>
      <w:lvlText w:val="%1.%2.%3.%4"/>
      <w:lvlJc w:val="start"/>
      <w:pPr>
        <w:tabs>
          <w:tab w:val="num" w:pos="2160"/>
        </w:tabs>
        <w:ind w:start="2160" w:hanging="1080"/>
      </w:pPr>
      <w:rPr/>
    </w:lvl>
    <w:lvl w:ilvl="4">
      <w:start w:val="1"/>
      <w:numFmt w:val="decimal"/>
      <w:lvlText w:val="%1.%2.%3.%4.%5"/>
      <w:lvlJc w:val="start"/>
      <w:pPr>
        <w:tabs>
          <w:tab w:val="num" w:pos="2880"/>
        </w:tabs>
        <w:ind w:start="2880" w:hanging="1440"/>
      </w:pPr>
      <w:rPr/>
    </w:lvl>
    <w:lvl w:ilvl="5">
      <w:start w:val="1"/>
      <w:numFmt w:val="decimal"/>
      <w:lvlText w:val="%1.%2.%3.%4.%5.%6"/>
      <w:lvlJc w:val="start"/>
      <w:pPr>
        <w:tabs>
          <w:tab w:val="num" w:pos="3240"/>
        </w:tabs>
        <w:ind w:start="3240" w:hanging="1440"/>
      </w:pPr>
      <w:rPr/>
    </w:lvl>
    <w:lvl w:ilvl="6">
      <w:start w:val="1"/>
      <w:numFmt w:val="decimal"/>
      <w:lvlText w:val="%1.%2.%3.%4.%5.%6.%7"/>
      <w:lvlJc w:val="start"/>
      <w:pPr>
        <w:tabs>
          <w:tab w:val="num" w:pos="3960"/>
        </w:tabs>
        <w:ind w:start="3960" w:hanging="1800"/>
      </w:pPr>
      <w:rPr/>
    </w:lvl>
    <w:lvl w:ilvl="7">
      <w:start w:val="1"/>
      <w:numFmt w:val="decimal"/>
      <w:lvlText w:val="%1.%2.%3.%4.%5.%6.%7.%8"/>
      <w:lvlJc w:val="start"/>
      <w:pPr>
        <w:tabs>
          <w:tab w:val="num" w:pos="4680"/>
        </w:tabs>
        <w:ind w:start="4680" w:hanging="2160"/>
      </w:pPr>
      <w:rPr/>
    </w:lvl>
    <w:lvl w:ilvl="8">
      <w:start w:val="1"/>
      <w:numFmt w:val="decimal"/>
      <w:lvlText w:val="%1.%2.%3.%4.%5.%6.%7.%8.%9"/>
      <w:lvlJc w:val="start"/>
      <w:pPr>
        <w:tabs>
          <w:tab w:val="num" w:pos="5040"/>
        </w:tabs>
        <w:ind w:start="5040" w:hanging="2160"/>
      </w:pPr>
      <w:rPr/>
    </w:lvl>
  </w:abstractNum>
  <w:abstractNum w:abstractNumId="14">
    <w:lvl w:ilvl="0">
      <w:start w:val="2"/>
      <w:numFmt w:val="decimal"/>
      <w:lvlText w:val="%1"/>
      <w:lvlJc w:val="start"/>
      <w:pPr>
        <w:tabs>
          <w:tab w:val="num" w:pos="360"/>
        </w:tabs>
        <w:ind w:start="360" w:hanging="360"/>
      </w:pPr>
      <w:rPr/>
    </w:lvl>
    <w:lvl w:ilvl="1">
      <w:start w:val="4"/>
      <w:numFmt w:val="decimal"/>
      <w:lvlText w:val="%1.%2"/>
      <w:lvlJc w:val="start"/>
      <w:pPr>
        <w:tabs>
          <w:tab w:val="num" w:pos="810"/>
        </w:tabs>
        <w:ind w:start="810" w:hanging="720"/>
      </w:pPr>
      <w:rPr/>
    </w:lvl>
    <w:lvl w:ilvl="2">
      <w:start w:val="1"/>
      <w:numFmt w:val="decimal"/>
      <w:lvlText w:val="%1.%2.%3"/>
      <w:lvlJc w:val="start"/>
      <w:pPr>
        <w:tabs>
          <w:tab w:val="num" w:pos="900"/>
        </w:tabs>
        <w:ind w:start="900" w:hanging="720"/>
      </w:pPr>
      <w:rPr/>
    </w:lvl>
    <w:lvl w:ilvl="3">
      <w:start w:val="1"/>
      <w:numFmt w:val="decimal"/>
      <w:lvlText w:val="%1.%2.%3.%4"/>
      <w:lvlJc w:val="start"/>
      <w:pPr>
        <w:tabs>
          <w:tab w:val="num" w:pos="1350"/>
        </w:tabs>
        <w:ind w:start="1350" w:hanging="1080"/>
      </w:pPr>
      <w:rPr/>
    </w:lvl>
    <w:lvl w:ilvl="4">
      <w:start w:val="1"/>
      <w:numFmt w:val="decimal"/>
      <w:lvlText w:val="%1.%2.%3.%4.%5"/>
      <w:lvlJc w:val="start"/>
      <w:pPr>
        <w:tabs>
          <w:tab w:val="num" w:pos="1800"/>
        </w:tabs>
        <w:ind w:start="1800" w:hanging="1440"/>
      </w:pPr>
      <w:rPr/>
    </w:lvl>
    <w:lvl w:ilvl="5">
      <w:start w:val="1"/>
      <w:numFmt w:val="decimal"/>
      <w:lvlText w:val="%1.%2.%3.%4.%5.%6"/>
      <w:lvlJc w:val="start"/>
      <w:pPr>
        <w:tabs>
          <w:tab w:val="num" w:pos="1890"/>
        </w:tabs>
        <w:ind w:start="1890" w:hanging="1440"/>
      </w:pPr>
      <w:rPr/>
    </w:lvl>
    <w:lvl w:ilvl="6">
      <w:start w:val="1"/>
      <w:numFmt w:val="decimal"/>
      <w:lvlText w:val="%1.%2.%3.%4.%5.%6.%7"/>
      <w:lvlJc w:val="start"/>
      <w:pPr>
        <w:tabs>
          <w:tab w:val="num" w:pos="2340"/>
        </w:tabs>
        <w:ind w:start="2340" w:hanging="1800"/>
      </w:pPr>
      <w:rPr/>
    </w:lvl>
    <w:lvl w:ilvl="7">
      <w:start w:val="1"/>
      <w:numFmt w:val="decimal"/>
      <w:lvlText w:val="%1.%2.%3.%4.%5.%6.%7.%8"/>
      <w:lvlJc w:val="start"/>
      <w:pPr>
        <w:tabs>
          <w:tab w:val="num" w:pos="2790"/>
        </w:tabs>
        <w:ind w:start="2790" w:hanging="2160"/>
      </w:pPr>
      <w:rPr/>
    </w:lvl>
    <w:lvl w:ilvl="8">
      <w:start w:val="1"/>
      <w:numFmt w:val="decimal"/>
      <w:lvlText w:val="%1.%2.%3.%4.%5.%6.%7.%8.%9"/>
      <w:lvlJc w:val="start"/>
      <w:pPr>
        <w:tabs>
          <w:tab w:val="num" w:pos="2880"/>
        </w:tabs>
        <w:ind w:start="2880" w:hanging="2160"/>
      </w:pPr>
      <w:rPr/>
    </w:lvl>
  </w:abstractNum>
  <w:abstractNum w:abstractNumId="15">
    <w:lvl w:ilvl="0">
      <w:start w:val="1"/>
      <w:numFmt w:val="decimal"/>
      <w:lvlText w:val="%1."/>
      <w:lvlJc w:val="start"/>
      <w:pPr>
        <w:tabs>
          <w:tab w:val="num" w:pos="360"/>
        </w:tabs>
        <w:ind w:start="360" w:hanging="360"/>
      </w:pPr>
      <w:rPr>
        <w:b w:val="fals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1"/>
  </w:compat>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bidi w:val="0"/>
      <w:jc w:val="both"/>
    </w:pPr>
    <w:rPr>
      <w:rFonts w:ascii="Verdana" w:hAnsi="Verdana" w:eastAsia="Times New Roman" w:cs="Verdana"/>
      <w:color w:val="auto"/>
      <w:sz w:val="20"/>
      <w:szCs w:val="20"/>
      <w:lang w:val="en-GB" w:bidi="ar-SA" w:eastAsia="zh-CN"/>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rPr/>
  </w:style>
  <w:style w:type="paragraph" w:styleId="Heading3">
    <w:name w:val="heading 3"/>
    <w:basedOn w:val="NormalManches"/>
    <w:next w:val="BodyText"/>
    <w:qFormat/>
    <w:pPr>
      <w:numPr>
        <w:ilvl w:val="2"/>
        <w:numId w:val="1"/>
      </w:numPr>
      <w:outlineLvl w:val="2"/>
    </w:pPr>
    <w:rPr/>
  </w:style>
  <w:style w:type="paragraph" w:styleId="Heading4">
    <w:name w:val="heading 4"/>
    <w:basedOn w:val="NormalManches"/>
    <w:next w:val="BodyText"/>
    <w:qFormat/>
    <w:pPr>
      <w:numPr>
        <w:ilvl w:val="3"/>
        <w:numId w:val="1"/>
      </w:numPr>
      <w:outlineLvl w:val="3"/>
    </w:pPr>
    <w:rPr/>
  </w:style>
  <w:style w:type="paragraph" w:styleId="Heading5">
    <w:name w:val="heading 5"/>
    <w:basedOn w:val="NormalManches"/>
    <w:next w:val="BodyText"/>
    <w:qFormat/>
    <w:pPr>
      <w:numPr>
        <w:ilvl w:val="4"/>
        <w:numId w:val="1"/>
      </w:numPr>
      <w:outlineLvl w:val="4"/>
    </w:pPr>
    <w:rPr/>
  </w:style>
  <w:style w:type="paragraph" w:styleId="Heading6">
    <w:name w:val="heading 6"/>
    <w:basedOn w:val="NormalManches"/>
    <w:next w:val="BodyText"/>
    <w:qFormat/>
    <w:pPr>
      <w:numPr>
        <w:ilvl w:val="0"/>
        <w:numId w:val="11"/>
      </w:numPr>
      <w:outlineLvl w:val="5"/>
    </w:pPr>
    <w:rPr/>
  </w:style>
  <w:style w:type="paragraph" w:styleId="Heading7">
    <w:name w:val="heading 7"/>
    <w:basedOn w:val="NormalManches"/>
    <w:next w:val="BodyText"/>
    <w:qFormat/>
    <w:pPr>
      <w:numPr>
        <w:ilvl w:val="0"/>
        <w:numId w:val="11"/>
      </w:numPr>
      <w:outlineLvl w:val="6"/>
    </w:pPr>
    <w:rPr/>
  </w:style>
  <w:style w:type="paragraph" w:styleId="Heading8">
    <w:name w:val="heading 8"/>
    <w:basedOn w:val="NormalManches"/>
    <w:next w:val="Normal"/>
    <w:qFormat/>
    <w:pPr>
      <w:spacing w:before="240" w:after="60"/>
      <w:ind w:hanging="0" w:start="0" w:end="0"/>
      <w:outlineLvl w:val="7"/>
    </w:pPr>
    <w:rPr>
      <w:i/>
    </w:rPr>
  </w:style>
  <w:style w:type="paragraph" w:styleId="Heading9">
    <w:name w:val="heading 9"/>
    <w:basedOn w:val="NormalManches"/>
    <w:next w:val="Normal"/>
    <w:qFormat/>
    <w:pPr>
      <w:spacing w:before="240" w:after="60"/>
      <w:ind w:hanging="0" w:start="0" w:end="0"/>
      <w:outlineLvl w:val="8"/>
    </w:pPr>
    <w:rPr/>
  </w:style>
  <w:style w:type="character" w:styleId="WW8Num1z0">
    <w:name w:val="WW8Num1z0"/>
    <w:qFormat/>
    <w:rPr/>
  </w:style>
  <w:style w:type="character" w:styleId="WW8Num3z0">
    <w:name w:val="WW8Num3z0"/>
    <w:qFormat/>
    <w:rPr>
      <w:rFonts w:ascii="Book Antiqua" w:hAnsi="Book Antiqua" w:cs="Book Antiqua"/>
      <w:sz w:val="24"/>
    </w:rPr>
  </w:style>
  <w:style w:type="character" w:styleId="WW8Num3z3">
    <w:name w:val="WW8Num3z3"/>
    <w:qFormat/>
    <w:rPr>
      <w:rFonts w:ascii="Symbol" w:hAnsi="Symbol" w:cs="Symbol"/>
      <w:color w:val="auto"/>
      <w:sz w:val="24"/>
    </w:rPr>
  </w:style>
  <w:style w:type="character" w:styleId="WW8Num3z5">
    <w:name w:val="WW8Num3z5"/>
    <w:qFormat/>
    <w:rPr/>
  </w:style>
  <w:style w:type="character" w:styleId="WW8Num4z0">
    <w:name w:val="WW8Num4z0"/>
    <w:qFormat/>
    <w:rPr>
      <w:b w:val="false"/>
    </w:rPr>
  </w:style>
  <w:style w:type="character" w:styleId="WW8Num4z1">
    <w:name w:val="WW8Num4z1"/>
    <w:qFormat/>
    <w:rPr/>
  </w:style>
  <w:style w:type="character" w:styleId="WW8Num5z0">
    <w:name w:val="WW8Num5z0"/>
    <w:qFormat/>
    <w:rPr/>
  </w:style>
  <w:style w:type="character" w:styleId="WW8Num6z3">
    <w:name w:val="WW8Num6z3"/>
    <w:qFormat/>
    <w:rPr>
      <w:rFonts w:ascii="Symbol" w:hAnsi="Symbol" w:cs="Symbol"/>
      <w:color w:val="auto"/>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b/>
    </w:rPr>
  </w:style>
  <w:style w:type="character" w:styleId="WW8Num11z0">
    <w:name w:val="WW8Num11z0"/>
    <w:qFormat/>
    <w:rPr/>
  </w:style>
  <w:style w:type="character" w:styleId="WW8Num12z0">
    <w:name w:val="WW8Num12z0"/>
    <w:qFormat/>
    <w:rPr/>
  </w:style>
  <w:style w:type="character" w:styleId="WW8Num13z0">
    <w:name w:val="WW8Num13z0"/>
    <w:qFormat/>
    <w:rPr>
      <w:rFonts w:ascii="Book Antiqua" w:hAnsi="Book Antiqua" w:cs="Book Antiqua"/>
      <w:sz w:val="24"/>
    </w:rPr>
  </w:style>
  <w:style w:type="character" w:styleId="WW8Num13z3">
    <w:name w:val="WW8Num13z3"/>
    <w:qFormat/>
    <w:rPr>
      <w:rFonts w:ascii="Symbol" w:hAnsi="Symbol" w:cs="Symbol"/>
      <w:color w:val="auto"/>
      <w:sz w:val="24"/>
    </w:rPr>
  </w:style>
  <w:style w:type="character" w:styleId="WW8Num13z5">
    <w:name w:val="WW8Num13z5"/>
    <w:qFormat/>
    <w:rPr/>
  </w:style>
  <w:style w:type="character" w:styleId="WW8Num14z0">
    <w:name w:val="WW8Num14z0"/>
    <w:qFormat/>
    <w:rPr/>
  </w:style>
  <w:style w:type="character" w:styleId="WW8Num15z0">
    <w:name w:val="WW8Num15z0"/>
    <w:qFormat/>
    <w:rPr>
      <w:b w:val="false"/>
    </w:rPr>
  </w:style>
  <w:style w:type="character" w:styleId="WW8Num15z1">
    <w:name w:val="WW8Num15z1"/>
    <w:qFormat/>
    <w:rPr/>
  </w:style>
  <w:style w:type="character" w:styleId="WW8Num16z0">
    <w:name w:val="WW8Num16z0"/>
    <w:qFormat/>
    <w:rPr>
      <w:rFonts w:ascii="Verdana" w:hAnsi="Verdana" w:cs="Verdana"/>
      <w:b w:val="false"/>
      <w:i w:val="false"/>
      <w:sz w:val="20"/>
      <w:u w:val="none"/>
    </w:rPr>
  </w:style>
  <w:style w:type="character" w:styleId="WW8Num16z1">
    <w:name w:val="WW8Num16z1"/>
    <w:qFormat/>
    <w:rPr>
      <w:rFonts w:ascii="Verdana" w:hAnsi="Verdana" w:cs="Verdana"/>
      <w:sz w:val="20"/>
    </w:rPr>
  </w:style>
  <w:style w:type="character" w:styleId="WW8Num16z5">
    <w:name w:val="WW8Num16z5"/>
    <w:qFormat/>
    <w:rPr>
      <w:rFonts w:ascii="Symbol" w:hAnsi="Symbol" w:cs="Symbol"/>
      <w:color w:val="auto"/>
      <w:sz w:val="24"/>
    </w:rPr>
  </w:style>
  <w:style w:type="character" w:styleId="WW8Num16z6">
    <w:name w:val="WW8Num16z6"/>
    <w:qFormat/>
    <w:rPr>
      <w:rFonts w:ascii="Book Antiqua" w:hAnsi="Book Antiqua" w:cs="Book Antiqua"/>
      <w:color w:val="auto"/>
      <w:sz w:val="24"/>
    </w:rPr>
  </w:style>
  <w:style w:type="character" w:styleId="WW8Num17z0">
    <w:name w:val="WW8Num17z0"/>
    <w:qFormat/>
    <w:rPr>
      <w:rFonts w:ascii="Book Antiqua" w:hAnsi="Book Antiqua" w:cs="Book Antiqua"/>
      <w:sz w:val="24"/>
    </w:rPr>
  </w:style>
  <w:style w:type="character" w:styleId="WW8Num17z3">
    <w:name w:val="WW8Num17z3"/>
    <w:qFormat/>
    <w:rPr>
      <w:rFonts w:ascii="Symbol" w:hAnsi="Symbol" w:cs="Symbol"/>
      <w:color w:val="auto"/>
      <w:sz w:val="24"/>
    </w:rPr>
  </w:style>
  <w:style w:type="character" w:styleId="WW8Num17z5">
    <w:name w:val="WW8Num17z5"/>
    <w:qFormat/>
    <w:rPr/>
  </w:style>
  <w:style w:type="character" w:styleId="WW8Num18z0">
    <w:name w:val="WW8Num18z0"/>
    <w:qFormat/>
    <w:rPr/>
  </w:style>
  <w:style w:type="character" w:styleId="WW8Num19z0">
    <w:name w:val="WW8Num19z0"/>
    <w:qFormat/>
    <w:rPr>
      <w:rFonts w:ascii="Book Antiqua" w:hAnsi="Book Antiqua" w:cs="Book Antiqua"/>
      <w:sz w:val="24"/>
    </w:rPr>
  </w:style>
  <w:style w:type="character" w:styleId="WW8Num19z1">
    <w:name w:val="WW8Num19z1"/>
    <w:qFormat/>
    <w:rPr>
      <w:rFonts w:ascii="Verdana" w:hAnsi="Verdana" w:cs="Verdana"/>
      <w:b w:val="false"/>
      <w:i w:val="false"/>
      <w:color w:val="auto"/>
      <w:sz w:val="20"/>
    </w:rPr>
  </w:style>
  <w:style w:type="character" w:styleId="WW8Num19z2">
    <w:name w:val="WW8Num19z2"/>
    <w:qFormat/>
    <w:rPr>
      <w:rFonts w:ascii="Verdana" w:hAnsi="Verdana" w:cs="Verdana"/>
      <w:b w:val="false"/>
      <w:i w:val="false"/>
      <w:sz w:val="20"/>
    </w:rPr>
  </w:style>
  <w:style w:type="character" w:styleId="WW8Num19z5">
    <w:name w:val="WW8Num19z5"/>
    <w:qFormat/>
    <w:rPr>
      <w:rFonts w:ascii="Symbol" w:hAnsi="Symbol" w:cs="Symbol"/>
      <w:color w:val="auto"/>
      <w:sz w:val="24"/>
    </w:rPr>
  </w:style>
  <w:style w:type="character" w:styleId="WW8Num19z6">
    <w:name w:val="WW8Num19z6"/>
    <w:qFormat/>
    <w:rPr>
      <w:rFonts w:ascii="Book Antiqua" w:hAnsi="Book Antiqua" w:cs="Book Antiqua"/>
      <w:color w:val="auto"/>
      <w:sz w:val="24"/>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b w:val="false"/>
    </w:rPr>
  </w:style>
  <w:style w:type="character" w:styleId="WW8Num24z0">
    <w:name w:val="WW8Num24z0"/>
    <w:qFormat/>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hanging="0" w:start="720" w:end="0"/>
    </w:pPr>
    <w:rPr/>
  </w:style>
  <w:style w:type="paragraph" w:styleId="List">
    <w:name w:val="List"/>
    <w:basedOn w:val="BodyText"/>
    <w:pPr/>
    <w:rPr>
      <w:rFonts w:cs="Noto Sans Devanagari"/>
    </w:rPr>
  </w:style>
  <w:style w:type="paragraph" w:styleId="Caption">
    <w:name w:val="caption"/>
    <w:basedOn w:val="Normal"/>
    <w:next w:val="Normal"/>
    <w:qFormat/>
    <w:pPr>
      <w:spacing w:before="120" w:after="120"/>
    </w:pPr>
    <w:rPr>
      <w:b/>
    </w:rPr>
  </w:style>
  <w:style w:type="paragraph" w:styleId="Index">
    <w:name w:val="Index"/>
    <w:basedOn w:val="Normal"/>
    <w:qFormat/>
    <w:pPr>
      <w:suppressLineNumbers/>
    </w:pPr>
    <w:rPr>
      <w:rFonts w:cs="Noto Sans Devanagari"/>
    </w:rPr>
  </w:style>
  <w:style w:type="paragraph" w:styleId="NormalManches">
    <w:name w:val="NormalManches"/>
    <w:qFormat/>
    <w:pPr>
      <w:widowControl/>
      <w:bidi w:val="0"/>
      <w:jc w:val="both"/>
    </w:pPr>
    <w:rPr>
      <w:rFonts w:ascii="Verdana" w:hAnsi="Verdana" w:eastAsia="Times New Roman" w:cs="Verdana"/>
      <w:color w:val="auto"/>
      <w:sz w:val="20"/>
      <w:szCs w:val="20"/>
      <w:lang w:val="en-GB" w:bidi="ar-SA" w:eastAsia="zh-CN"/>
    </w:rPr>
  </w:style>
  <w:style w:type="paragraph" w:styleId="Index6">
    <w:name w:val="Index 6"/>
    <w:basedOn w:val="Normal"/>
    <w:next w:val="Normal"/>
    <w:qFormat/>
    <w:pPr>
      <w:ind w:hanging="220" w:start="1320" w:end="0"/>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jc w:val="both"/>
    </w:pPr>
    <w:rPr>
      <w:rFonts w:ascii="Book Antiqua" w:hAnsi="Book Antiqua" w:cs="Book Antiqua"/>
      <w:sz w:val="24"/>
    </w:rPr>
  </w:style>
  <w:style w:type="paragraph" w:styleId="Footer">
    <w:name w:val="footer"/>
    <w:basedOn w:val="Normal"/>
    <w:pPr>
      <w:tabs>
        <w:tab w:val="clear" w:pos="720"/>
        <w:tab w:val="center" w:pos="4320" w:leader="none"/>
        <w:tab w:val="right" w:pos="8640" w:leader="none"/>
      </w:tabs>
      <w:jc w:val="both"/>
    </w:pPr>
    <w:rPr/>
  </w:style>
  <w:style w:type="paragraph" w:styleId="EnvelopeAddress">
    <w:name w:val="envelope address"/>
    <w:basedOn w:val="Normal"/>
    <w:pPr>
      <w:ind w:hanging="0" w:start="2880" w:end="0"/>
    </w:pPr>
    <w:rPr/>
  </w:style>
  <w:style w:type="paragraph" w:styleId="BodyText2">
    <w:name w:val="Body Text 2"/>
    <w:basedOn w:val="Normal"/>
    <w:qFormat/>
    <w:pPr>
      <w:ind w:hanging="0" w:start="1440" w:end="0"/>
    </w:pPr>
    <w:rPr/>
  </w:style>
  <w:style w:type="paragraph" w:styleId="BodyText3">
    <w:name w:val="Body Text 3"/>
    <w:basedOn w:val="Normal"/>
    <w:qFormat/>
    <w:pPr>
      <w:ind w:hanging="0" w:start="2520" w:end="0"/>
    </w:pPr>
    <w:rPr/>
  </w:style>
  <w:style w:type="paragraph" w:styleId="BodyText4">
    <w:name w:val="Body Text 4"/>
    <w:basedOn w:val="Heading4"/>
    <w:qFormat/>
    <w:pPr>
      <w:numPr>
        <w:ilvl w:val="0"/>
        <w:numId w:val="0"/>
      </w:numPr>
      <w:ind w:hanging="0" w:start="2520" w:end="0"/>
      <w:outlineLvl w:val="9"/>
    </w:pPr>
    <w:rPr/>
  </w:style>
  <w:style w:type="paragraph" w:styleId="BodyText5">
    <w:name w:val="Body Text 5"/>
    <w:basedOn w:val="BodyText4"/>
    <w:qFormat/>
    <w:pPr/>
    <w:rPr/>
  </w:style>
  <w:style w:type="paragraph" w:styleId="BodyText6">
    <w:name w:val="Body Text 6"/>
    <w:basedOn w:val="BodyText5"/>
    <w:qFormat/>
    <w:pPr/>
    <w:rPr/>
  </w:style>
  <w:style w:type="paragraph" w:styleId="BodyText7">
    <w:name w:val="Body Text 7"/>
    <w:basedOn w:val="BodyText6"/>
    <w:qFormat/>
    <w:pPr/>
    <w:rPr/>
  </w:style>
  <w:style w:type="paragraph" w:styleId="Para1">
    <w:name w:val="Para1"/>
    <w:basedOn w:val="Normal"/>
    <w:qFormat/>
    <w:pPr>
      <w:numPr>
        <w:ilvl w:val="0"/>
        <w:numId w:val="8"/>
      </w:numPr>
      <w:spacing w:before="120" w:after="0"/>
    </w:pPr>
    <w:rPr/>
  </w:style>
  <w:style w:type="paragraph" w:styleId="para2">
    <w:name w:val="para2"/>
    <w:basedOn w:val="Normal"/>
    <w:qFormat/>
    <w:pPr>
      <w:numPr>
        <w:ilvl w:val="0"/>
        <w:numId w:val="9"/>
      </w:numPr>
    </w:pPr>
    <w:rPr/>
  </w:style>
  <w:style w:type="paragraph" w:styleId="para3">
    <w:name w:val="para3"/>
    <w:basedOn w:val="Normal"/>
    <w:qFormat/>
    <w:pPr>
      <w:numPr>
        <w:ilvl w:val="0"/>
        <w:numId w:val="3"/>
      </w:numPr>
    </w:pPr>
    <w:rPr/>
  </w:style>
  <w:style w:type="paragraph" w:styleId="para4">
    <w:name w:val="para4"/>
    <w:basedOn w:val="para2"/>
    <w:qFormat/>
    <w:pPr>
      <w:numPr>
        <w:ilvl w:val="0"/>
        <w:numId w:val="8"/>
      </w:numPr>
    </w:pPr>
    <w:rPr/>
  </w:style>
  <w:style w:type="paragraph" w:styleId="para5">
    <w:name w:val="para5"/>
    <w:basedOn w:val="para2"/>
    <w:qFormat/>
    <w:pPr>
      <w:numPr>
        <w:ilvl w:val="0"/>
        <w:numId w:val="8"/>
      </w:numPr>
    </w:pPr>
    <w:rPr/>
  </w:style>
  <w:style w:type="paragraph" w:styleId="EnvelopeReturn">
    <w:name w:val="envelope return"/>
    <w:basedOn w:val="Normal"/>
    <w:pPr/>
    <w:rPr/>
  </w:style>
  <w:style w:type="paragraph" w:styleId="TOC1">
    <w:name w:val="toc 1"/>
    <w:basedOn w:val="Normal"/>
    <w:next w:val="Normal"/>
    <w:pPr>
      <w:tabs>
        <w:tab w:val="left" w:pos="720" w:leader="none"/>
        <w:tab w:val="right" w:pos="8928" w:leader="dot"/>
      </w:tabs>
    </w:pPr>
    <w:rPr/>
  </w:style>
  <w:style w:type="paragraph" w:styleId="TOC2">
    <w:name w:val="toc 2"/>
    <w:basedOn w:val="Normal"/>
    <w:next w:val="Normal"/>
    <w:pPr>
      <w:tabs>
        <w:tab w:val="clear" w:pos="720"/>
        <w:tab w:val="left" w:pos="1872" w:leader="none"/>
        <w:tab w:val="right" w:pos="8928" w:leader="dot"/>
      </w:tabs>
      <w:ind w:hanging="0" w:start="720" w:end="0"/>
    </w:pPr>
    <w:rPr>
      <w:lang w:val="en-US" w:eastAsia="en-US"/>
    </w:rPr>
  </w:style>
  <w:style w:type="paragraph" w:styleId="TOC3">
    <w:name w:val="toc 3"/>
    <w:basedOn w:val="Normal"/>
    <w:next w:val="Normal"/>
    <w:pPr>
      <w:tabs>
        <w:tab w:val="clear" w:pos="720"/>
        <w:tab w:val="left" w:pos="3312" w:leader="none"/>
        <w:tab w:val="right" w:pos="8928" w:leader="dot"/>
      </w:tabs>
      <w:ind w:hanging="0" w:start="1872" w:end="0"/>
    </w:pPr>
    <w:rPr>
      <w:lang w:val="en-US" w:eastAsia="en-US"/>
    </w:rPr>
  </w:style>
  <w:style w:type="paragraph" w:styleId="NormalBoldManches">
    <w:name w:val="NormalBoldManches"/>
    <w:basedOn w:val="NormalManches"/>
    <w:qFormat/>
    <w:pPr/>
    <w:rPr>
      <w:b/>
    </w:rPr>
  </w:style>
  <w:style w:type="paragraph" w:styleId="NormalGSManches">
    <w:name w:val="NormalGSManches"/>
    <w:basedOn w:val="Normal"/>
    <w:qFormat/>
    <w:pPr>
      <w:ind w:hanging="0" w:start="0" w:end="0"/>
      <w:jc w:val="both"/>
    </w:pPr>
    <w:rPr>
      <w:rFonts w:ascii="Gill Sans Std Light" w:hAnsi="Gill Sans Std Light" w:cs="Gill Sans Std Light"/>
      <w:sz w:val="18"/>
    </w:rPr>
  </w:style>
  <w:style w:type="paragraph" w:styleId="NormalGS65Manches">
    <w:name w:val="NormalGS65Manches"/>
    <w:basedOn w:val="NormalGSManches"/>
    <w:qFormat/>
    <w:pPr/>
    <w:rPr>
      <w:sz w:val="13"/>
    </w:rPr>
  </w:style>
  <w:style w:type="paragraph" w:styleId="BalloonText">
    <w:name w:val="Balloon Text"/>
    <w:basedOn w:val="Normal"/>
    <w:qFormat/>
    <w:pPr/>
    <w:rPr>
      <w:rFonts w:ascii="Tahoma" w:hAnsi="Tahoma" w:cs="Tahoma"/>
      <w:sz w:val="16"/>
    </w:rPr>
  </w:style>
  <w:style w:type="paragraph" w:styleId="BodyTextFirstIndent">
    <w:name w:val="Body Text First Indent"/>
    <w:basedOn w:val="BodyText"/>
    <w:qFormat/>
    <w:pPr>
      <w:ind w:firstLine="210" w:start="720" w:end="0"/>
    </w:pPr>
    <w:rPr/>
  </w:style>
  <w:style w:type="paragraph" w:styleId="BodyTextIndent">
    <w:name w:val="Body Text Indent"/>
    <w:basedOn w:val="Normal"/>
    <w:pPr>
      <w:widowControl w:val="false"/>
      <w:tabs>
        <w:tab w:val="left" w:pos="720" w:leader="none"/>
        <w:tab w:val="right" w:pos="8784" w:leader="none"/>
        <w:tab w:val="right" w:pos="10368" w:leader="none"/>
        <w:tab w:val="right" w:pos="10944" w:leader="none"/>
      </w:tabs>
      <w:ind w:hanging="720" w:start="720" w:end="0"/>
      <w:jc w:val="both"/>
    </w:pPr>
    <w:rPr>
      <w:rFonts w:ascii="Book Antiqua" w:hAnsi="Book Antiqua" w:cs="Book Antiqua"/>
      <w:sz w:val="24"/>
      <w:lang w:val="en-US"/>
    </w:rPr>
  </w:style>
  <w:style w:type="paragraph" w:styleId="BodyTextFirstIndent2">
    <w:name w:val="Body Text First Indent 2"/>
    <w:basedOn w:val="BodyTextIndent"/>
    <w:qFormat/>
    <w:pPr>
      <w:ind w:firstLine="210" w:start="720" w:end="0"/>
    </w:pPr>
    <w:rPr/>
  </w:style>
  <w:style w:type="paragraph" w:styleId="BodyTextIndent2">
    <w:name w:val="Body Text Indent 2"/>
    <w:basedOn w:val="Normal"/>
    <w:qFormat/>
    <w:pPr>
      <w:ind w:hanging="0" w:start="720" w:end="0"/>
      <w:jc w:val="both"/>
    </w:pPr>
    <w:rPr/>
  </w:style>
  <w:style w:type="paragraph" w:styleId="BodyTextIndent3">
    <w:name w:val="Body Text Indent 3"/>
    <w:basedOn w:val="Normal"/>
    <w:qFormat/>
    <w:pPr>
      <w:ind w:hanging="0" w:start="1691" w:end="0"/>
      <w:jc w:val="both"/>
    </w:pPr>
    <w:rPr/>
  </w:style>
  <w:style w:type="paragraph" w:styleId="Closing">
    <w:name w:val="Closing"/>
    <w:basedOn w:val="NormalManches"/>
    <w:qFormat/>
    <w:pPr>
      <w:ind w:hanging="0" w:start="4252" w:end="0"/>
    </w:pPr>
    <w:rPr/>
  </w:style>
  <w:style w:type="paragraph" w:styleId="CommentText">
    <w:name w:val="Comment Text"/>
    <w:basedOn w:val="Normal"/>
    <w:qFormat/>
    <w:pPr/>
    <w:rPr/>
  </w:style>
  <w:style w:type="paragraph" w:styleId="CommentSubject">
    <w:name w:val="Comment Subject"/>
    <w:basedOn w:val="CommentText"/>
    <w:next w:val="CommentText"/>
    <w:qFormat/>
    <w:pPr/>
    <w:rPr>
      <w:b/>
    </w:rPr>
  </w:style>
  <w:style w:type="paragraph" w:styleId="Date">
    <w:name w:val="Date"/>
    <w:basedOn w:val="NormalManches"/>
    <w:next w:val="NormalManches"/>
    <w:qFormat/>
    <w:pPr/>
    <w:rPr/>
  </w:style>
  <w:style w:type="paragraph" w:styleId="DocumentMap">
    <w:name w:val="Document Map"/>
    <w:basedOn w:val="Normal"/>
    <w:qFormat/>
    <w:pPr>
      <w:shd w:fill="000080" w:val="clear"/>
    </w:pPr>
    <w:rPr>
      <w:rFonts w:ascii="Tahoma" w:hAnsi="Tahoma" w:cs="Tahoma"/>
    </w:rPr>
  </w:style>
  <w:style w:type="paragraph" w:styleId="E-mailSignature">
    <w:name w:val="E-mail Signature"/>
    <w:basedOn w:val="NormalManches"/>
    <w:qFormat/>
    <w:pPr/>
    <w:rPr/>
  </w:style>
  <w:style w:type="paragraph" w:styleId="Subtitle">
    <w:name w:val="Subtitle"/>
    <w:basedOn w:val="Normal"/>
    <w:next w:val="BodyText"/>
    <w:qFormat/>
    <w:pPr>
      <w:jc w:val="center"/>
    </w:pPr>
    <w:rPr>
      <w:rFonts w:ascii="Times New Roman" w:hAnsi="Times New Roman" w:cs="Times New Roman"/>
      <w:b/>
      <w:u w:val="single"/>
    </w:rPr>
  </w:style>
  <w:style w:type="paragraph" w:styleId="Legal1">
    <w:name w:val="Legal1"/>
    <w:basedOn w:val="Normal"/>
    <w:qFormat/>
    <w:pPr>
      <w:numPr>
        <w:ilvl w:val="0"/>
        <w:numId w:val="2"/>
      </w:numPr>
      <w:spacing w:lineRule="auto" w:line="360"/>
    </w:pPr>
    <w:rPr/>
  </w:style>
  <w:style w:type="paragraph" w:styleId="Legal2">
    <w:name w:val="Legal2"/>
    <w:basedOn w:val="Normal"/>
    <w:qFormat/>
    <w:pPr>
      <w:numPr>
        <w:ilvl w:val="0"/>
        <w:numId w:val="2"/>
      </w:numPr>
      <w:spacing w:lineRule="auto" w:line="360"/>
    </w:pPr>
    <w:rPr/>
  </w:style>
  <w:style w:type="paragraph" w:styleId="Legal3">
    <w:name w:val="Legal3"/>
    <w:basedOn w:val="Normal"/>
    <w:qFormat/>
    <w:pPr>
      <w:numPr>
        <w:ilvl w:val="0"/>
        <w:numId w:val="2"/>
      </w:numPr>
      <w:spacing w:lineRule="auto" w:line="360"/>
    </w:pPr>
    <w:rPr/>
  </w:style>
  <w:style w:type="paragraph" w:styleId="Legal4">
    <w:name w:val="Legal4"/>
    <w:basedOn w:val="Normal"/>
    <w:qFormat/>
    <w:pPr>
      <w:numPr>
        <w:ilvl w:val="0"/>
        <w:numId w:val="2"/>
      </w:numPr>
      <w:spacing w:lineRule="auto" w:line="360"/>
    </w:pPr>
    <w:rPr/>
  </w:style>
  <w:style w:type="paragraph" w:styleId="Para11">
    <w:name w:val="Para 1"/>
    <w:basedOn w:val="Normal"/>
    <w:qFormat/>
    <w:pPr>
      <w:numPr>
        <w:ilvl w:val="0"/>
        <w:numId w:val="5"/>
      </w:numPr>
      <w:spacing w:lineRule="auto" w:line="360"/>
    </w:pPr>
    <w:rPr/>
  </w:style>
  <w:style w:type="paragraph" w:styleId="Para21">
    <w:name w:val="Para 2"/>
    <w:basedOn w:val="Normal"/>
    <w:qFormat/>
    <w:pPr>
      <w:numPr>
        <w:ilvl w:val="0"/>
        <w:numId w:val="5"/>
      </w:numPr>
      <w:spacing w:lineRule="auto" w:line="360"/>
    </w:pPr>
    <w:rPr/>
  </w:style>
  <w:style w:type="paragraph" w:styleId="Para31">
    <w:name w:val="Para 3"/>
    <w:basedOn w:val="Normal"/>
    <w:qFormat/>
    <w:pPr>
      <w:numPr>
        <w:ilvl w:val="0"/>
        <w:numId w:val="5"/>
      </w:numPr>
      <w:spacing w:lineRule="auto" w:line="360"/>
    </w:pPr>
    <w:rPr/>
  </w:style>
  <w:style w:type="paragraph" w:styleId="Para41">
    <w:name w:val="Para 4"/>
    <w:basedOn w:val="Normal"/>
    <w:qFormat/>
    <w:pPr>
      <w:numPr>
        <w:ilvl w:val="0"/>
        <w:numId w:val="5"/>
      </w:numPr>
      <w:spacing w:lineRule="auto" w:line="36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Application>LibreOffice/26.2.4.2$Linux_X86_64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2016-09-07T23:46:00Z</dcterms:created>
  <dc:creator>Christine Reid</dc:creator>
  <dc:description>DTI</dc:description>
  <cp:keywords>678433/1</cp:keywords>
  <dc:language>en-US</dc:language>
  <cp:lastModifiedBy>Andrew Rees</cp:lastModifiedBy>
  <cp:lastPrinted>2005-11-01T18:02:00Z</cp:lastPrinted>
  <dcterms:modified xsi:type="dcterms:W3CDTF">2016-09-07T23:46:00Z</dcterms:modified>
  <cp:revision>2</cp:revision>
  <dc:subject>LAMBERT REVIEW</dc:subject>
  <dc:title>CZR/136025/224213</dc:title>
</cp:coreProperties>
</file>