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8A1C1C"/>
          <w:sz w:val="18"/>
        </w:rPr>
        <w:t>PRIVILEGED &amp; CONFIDENTIAL — CLIENT DEAL SHEET</w:t>
      </w:r>
    </w:p>
    <w:p>
      <w:pPr>
        <w:pStyle w:val="Heading1"/>
      </w:pPr>
      <w:r>
        <w:t>NDA deal sheet: University of Kingsmere / Halcyon Photonics Limited</w:t>
      </w:r>
    </w:p>
    <w:p>
      <w:r>
        <w:rPr>
          <w:i/>
        </w:rPr>
        <w:t>Prepared by: A. Okoye (associate), Thornbury Lane LLP · Matter 40417-002 · 2 October 2026</w:t>
      </w:r>
    </w:p>
    <w:p>
      <w:r>
        <w:rPr>
          <w:color w:val="666666"/>
          <w:sz w:val="17"/>
        </w:rPr>
        <w:t>All names, addresses and numbers on this sheet are fictional and were created for testing.</w:t>
      </w:r>
    </w:p>
    <w:p>
      <w:pPr>
        <w:pStyle w:val="Heading2"/>
      </w:pPr>
      <w:r>
        <w:t>1. Agreement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Agreement date</w:t>
            </w:r>
          </w:p>
        </w:tc>
        <w:tc>
          <w:tcPr>
            <w:tcW w:type="dxa" w:w="6576"/>
          </w:tcPr>
          <w:p>
            <w:r>
              <w:t>12 October 2026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Template</w:t>
            </w:r>
          </w:p>
        </w:tc>
        <w:tc>
          <w:tcPr>
            <w:tcW w:type="dxa" w:w="6576"/>
          </w:tcPr>
          <w:p>
            <w:r>
              <w:t>University's standard NDA (Lambert Toolkit sample, Manches form)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We act for</w:t>
            </w:r>
          </w:p>
        </w:tc>
        <w:tc>
          <w:tcPr>
            <w:tcW w:type="dxa" w:w="6576"/>
          </w:tcPr>
          <w:p>
            <w:r>
              <w:t>The Company (Halcyon Photonics Limited)</w:t>
            </w:r>
          </w:p>
        </w:tc>
      </w:tr>
    </w:tbl>
    <w:p/>
    <w:p>
      <w:pPr>
        <w:pStyle w:val="Heading2"/>
      </w:pPr>
      <w:r>
        <w:t>2. Parties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University</w:t>
            </w:r>
          </w:p>
        </w:tc>
        <w:tc>
          <w:tcPr>
            <w:tcW w:type="dxa" w:w="6576"/>
          </w:tcPr>
          <w:p>
            <w:r>
              <w:t>The University of Kingsmere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University administrative offices</w:t>
            </w:r>
          </w:p>
        </w:tc>
        <w:tc>
          <w:tcPr>
            <w:tcW w:type="dxa" w:w="6576"/>
          </w:tcPr>
          <w:p>
            <w:r>
              <w:t>Research &amp; Innovation Services, Albion House, 14 College Road, Kingsmere KM4 2AB, United Kingdom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576"/>
          </w:tcPr>
          <w:p>
            <w:r>
              <w:t>Halcyon Photonics Limited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Place of registration</w:t>
            </w:r>
          </w:p>
        </w:tc>
        <w:tc>
          <w:tcPr>
            <w:tcW w:type="dxa" w:w="6576"/>
          </w:tcPr>
          <w:p>
            <w:r>
              <w:t>England and Wales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Company number</w:t>
            </w:r>
          </w:p>
        </w:tc>
        <w:tc>
          <w:tcPr>
            <w:tcW w:type="dxa" w:w="6576"/>
          </w:tcPr>
          <w:p>
            <w:r>
              <w:t>14829376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Registered office</w:t>
            </w:r>
          </w:p>
        </w:tc>
        <w:tc>
          <w:tcPr>
            <w:tcW w:type="dxa" w:w="6576"/>
          </w:tcPr>
          <w:p>
            <w:r>
              <w:t>Unit 7, Harbourside Innovation Centre, 22 Quay Street, Bristol BS1 4XE, United Kingdom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Group note</w:t>
            </w:r>
          </w:p>
        </w:tc>
        <w:tc>
          <w:tcPr>
            <w:tcW w:type="dxa" w:w="6576"/>
          </w:tcPr>
          <w:p>
            <w:r>
              <w:t>Halcyon is a University spin-out. Since August 2026 its parent is Halcyon Holdings (HK) Limited, Hong Kong; partner may want Hong Kong law (see turn 2).</w:t>
            </w:r>
          </w:p>
        </w:tc>
      </w:tr>
    </w:tbl>
    <w:p/>
    <w:p>
      <w:pPr>
        <w:pStyle w:val="Heading2"/>
      </w:pPr>
      <w:r>
        <w:t>3. Project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Proposed Project</w:t>
            </w:r>
          </w:p>
        </w:tc>
        <w:tc>
          <w:tcPr>
            <w:tcW w:type="dxa" w:w="6576"/>
          </w:tcPr>
          <w:p>
            <w:r>
              <w:t>A two-year collaborative research project on low-loss silicon-nitride photonic waveguides for data-centre optical interconnects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Specified Purpose</w:t>
            </w:r>
          </w:p>
        </w:tc>
        <w:tc>
          <w:tcPr>
            <w:tcW w:type="dxa" w:w="6576"/>
          </w:tcPr>
          <w:p>
            <w:r>
              <w:t>Keep the template wording, i.e. discussing whether to collaborate on the Proposed Project, preparing an outline specification / proposal / workplan, and submitting any funding application (Innovate UK Smart grant planned for Q1 2027)</w:t>
            </w:r>
          </w:p>
        </w:tc>
      </w:tr>
    </w:tbl>
    <w:p/>
    <w:p>
      <w:pPr>
        <w:pStyle w:val="Heading2"/>
      </w:pPr>
      <w:r>
        <w:t>4. Notice representatives (clause 5.1 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For the University</w:t>
            </w:r>
          </w:p>
        </w:tc>
        <w:tc>
          <w:tcPr>
            <w:tcW w:type="dxa" w:w="6576"/>
          </w:tcPr>
          <w:p>
            <w:r>
              <w:t>Ms Priya Raman, Senior Contracts Manager, Research &amp; Innovation Services, Albion House, 14 College Road, Kingsmere KM4 2AB · contracts@kingsmere.ac.uk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For the Company</w:t>
            </w:r>
          </w:p>
        </w:tc>
        <w:tc>
          <w:tcPr>
            <w:tcW w:type="dxa" w:w="6576"/>
          </w:tcPr>
          <w:p>
            <w:r>
              <w:t>Mr Thomas Hadley, General Counsel, Halcyon Photonics Limited, Unit 7, Harbourside Innovation Centre, 22 Quay Street, Bristol BS1 4XE · legal@halcyonphotonics.co.uk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Fax</w:t>
            </w:r>
          </w:p>
        </w:tc>
        <w:tc>
          <w:tcPr>
            <w:tcW w:type="dxa" w:w="6576"/>
          </w:tcPr>
          <w:p>
            <w:r>
              <w:t>Neither party uses fax. Replace the "Fax number" row with "Email".</w:t>
            </w:r>
          </w:p>
        </w:tc>
      </w:tr>
    </w:tbl>
    <w:p/>
    <w:p>
      <w:pPr>
        <w:pStyle w:val="Heading2"/>
      </w:pPr>
      <w:r>
        <w:t>5. Escalation officers (clause 5.10)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University</w:t>
            </w:r>
          </w:p>
        </w:tc>
        <w:tc>
          <w:tcPr>
            <w:tcW w:type="dxa" w:w="6576"/>
          </w:tcPr>
          <w:p>
            <w:r>
              <w:t>Professor Alan Whitcombe, Pro-Vice-Chancellor (Research)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576"/>
          </w:tcPr>
          <w:p>
            <w:r>
              <w:t>Dr Mei Lin Wong, Chief Technology Officer</w:t>
            </w:r>
          </w:p>
        </w:tc>
      </w:tr>
    </w:tbl>
    <w:p/>
    <w:p>
      <w:pPr>
        <w:pStyle w:val="Heading2"/>
      </w:pPr>
      <w:r>
        <w:t>6. Signatories (execution block)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For the University</w:t>
            </w:r>
          </w:p>
        </w:tc>
        <w:tc>
          <w:tcPr>
            <w:tcW w:type="dxa" w:w="6576"/>
          </w:tcPr>
          <w:p>
            <w:r>
              <w:t>Dr Eleanor Marsh, Director of Research &amp; Innovation Services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For the Company</w:t>
            </w:r>
          </w:p>
        </w:tc>
        <w:tc>
          <w:tcPr>
            <w:tcW w:type="dxa" w:w="6576"/>
          </w:tcPr>
          <w:p>
            <w:r>
              <w:t>Daniel Cheung, Chief Executive Officer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Signatures</w:t>
            </w:r>
          </w:p>
        </w:tc>
        <w:tc>
          <w:tcPr>
            <w:tcW w:type="dxa" w:w="6576"/>
          </w:tcPr>
          <w:p>
            <w:r>
              <w:t>Leave blank — wet-ink / DocuSign after approval</w:t>
            </w:r>
          </w:p>
        </w:tc>
      </w:tr>
    </w:tbl>
    <w:p/>
    <w:p>
      <w:pPr>
        <w:pStyle w:val="Heading2"/>
      </w:pPr>
      <w:r>
        <w:t>7. Client's commercial asks (for reference)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Term</w:t>
            </w:r>
          </w:p>
        </w:tc>
        <w:tc>
          <w:tcPr>
            <w:tcW w:type="dxa" w:w="6576"/>
          </w:tcPr>
          <w:p>
            <w:r>
              <w:t>5 years from receipt of each item of Confidential Information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Permitted disclosure</w:t>
            </w:r>
          </w:p>
        </w:tc>
        <w:tc>
          <w:tcPr>
            <w:tcW w:type="dxa" w:w="6576"/>
          </w:tcPr>
          <w:p>
            <w:r>
              <w:t>Professional advisers and actual or potential investors, under equivalent confidentiality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FOI response</w:t>
            </w:r>
          </w:p>
        </w:tc>
        <w:tc>
          <w:tcPr>
            <w:tcW w:type="dxa" w:w="6576"/>
          </w:tcPr>
          <w:p>
            <w:r>
              <w:t>5 Business Days (template says 10 days)</w:t>
            </w:r>
          </w:p>
        </w:tc>
      </w:tr>
      <w:tr>
        <w:tc>
          <w:tcPr>
            <w:tcW w:type="dxa" w:w="2835"/>
            <w:shd w:val="clear" w:color="auto" w:fill="E8EEF4"/>
          </w:tcPr>
          <w:p>
            <w:r>
              <w:rPr>
                <w:b/>
              </w:rPr>
              <w:t>Clean-up</w:t>
            </w:r>
          </w:p>
        </w:tc>
        <w:tc>
          <w:tcPr>
            <w:tcW w:type="dxa" w:w="6576"/>
          </w:tcPr>
          <w:p>
            <w:r>
              <w:t>Remove the Lambert "Note" and "NOT APPROVED" banner before sending to the University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Thornbury Lane LLP · fictional test data · not legal advice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