
<file path=[Content_Types].xml><?xml version="1.0" encoding="utf-8"?>
<Types xmlns="http://schemas.openxmlformats.org/package/2006/content-types">
  <Default Extension="gif" ContentType="image/gif"/>
  <Default Extension="jpg" ContentType="image/jpeg"/>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pPr>
      <w:r>
        <w:rPr/>
        <w:t xml:space="preserve">EX-13 2 prov-20260630xex13.htm EX-13 </w:t>
      </w:r>
    </w:p>
    <w:p>
      <w:pPr>
        <w:pStyle w:val="BodyText"/>
        <w:bidi w:val="0"/>
        <w:spacing w:before="0" w:after="240"/>
        <w:ind w:left="0" w:right="0" w:hanging="0"/>
        <w:jc w:val="center"/>
        <w:rPr>
          <w:rFonts w:ascii="Times New Roman;Times;serif" w:hAnsi="Times New Roman;Times;serif"/>
          <w:b/>
          <w:sz w:val="20"/>
        </w:rPr>
      </w:pPr>
      <w:r>
        <w:rPr>
          <w:rFonts w:ascii="Times New Roman;Times;serif" w:hAnsi="Times New Roman;Times;serif"/>
          <w:b/>
          <w:sz w:val="20"/>
        </w:rPr>
        <w:t>EXHIBIT 13</w:t>
      </w:r>
    </w:p>
    <w:p>
      <w:pPr>
        <w:pStyle w:val="BodyText"/>
        <w:bidi w:val="0"/>
        <w:spacing w:before="0" w:after="240"/>
        <w:ind w:left="0" w:right="0" w:hanging="0"/>
        <w:jc w:val="center"/>
        <w:rPr>
          <w:rFonts w:ascii="Times New Roman;Times;serif" w:hAnsi="Times New Roman;Times;serif"/>
          <w:b/>
          <w:sz w:val="20"/>
        </w:rPr>
      </w:pPr>
      <w:r>
        <w:rPr>
          <w:rFonts w:ascii="Times New Roman;Times;serif" w:hAnsi="Times New Roman;Times;serif"/>
          <w:b/>
          <w:sz w:val="20"/>
        </w:rPr>
        <w:t>2026 Annual Report to Stockholders</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760"/>
        <w:ind w:left="0" w:right="0" w:hanging="0"/>
        <w:jc w:val="center"/>
        <w:rPr/>
      </w:pPr>
      <w:r>
        <w:rPr/>
        <w:drawing>
          <wp:inline distT="0" distB="0" distL="0" distR="0">
            <wp:extent cx="4829175" cy="1677035"/>
            <wp:effectExtent l="0" t="0" r="0" b="0"/>
            <wp:docPr id="1" name="Image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Graphic"/>
                    <pic:cNvPicPr>
                      <a:picLocks noChangeAspect="1" noChangeArrowheads="1"/>
                    </pic:cNvPicPr>
                  </pic:nvPicPr>
                  <pic:blipFill>
                    <a:blip r:embed="rId2"/>
                    <a:stretch>
                      <a:fillRect/>
                    </a:stretch>
                  </pic:blipFill>
                  <pic:spPr bwMode="auto">
                    <a:xfrm>
                      <a:off x="0" y="0"/>
                      <a:ext cx="4829175" cy="1677035"/>
                    </a:xfrm>
                    <a:prstGeom prst="rect">
                      <a:avLst/>
                    </a:prstGeom>
                    <a:noFill/>
                  </pic:spPr>
                </pic:pic>
              </a:graphicData>
            </a:graphic>
          </wp:inline>
        </w:drawing>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0"/>
        <w:ind w:left="0" w:right="0" w:hanging="0"/>
        <w:jc w:val="right"/>
        <w:rPr>
          <w:rFonts w:ascii="Times New Roman;Times;serif" w:hAnsi="Times New Roman;Times;serif"/>
          <w:b/>
          <w:sz w:val="40"/>
        </w:rPr>
      </w:pPr>
      <w:r>
        <w:rPr>
          <w:rFonts w:ascii="Times New Roman;Times;serif" w:hAnsi="Times New Roman;Times;serif"/>
          <w:b/>
          <w:sz w:val="40"/>
        </w:rPr>
        <w:t>2026 Annual Report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20"/>
        <w:ind w:left="0" w:right="0" w:hanging="0"/>
        <w:jc w:val="left"/>
        <w:rPr>
          <w:rFonts w:ascii="Times New Roman;Times;serif" w:hAnsi="Times New Roman;Times;serif"/>
          <w:b/>
          <w:sz w:val="32"/>
        </w:rPr>
      </w:pPr>
      <w:r>
        <w:rPr>
          <w:rFonts w:ascii="Times New Roman;Times;serif" w:hAnsi="Times New Roman;Times;serif"/>
          <w:b/>
          <w:sz w:val="32"/>
        </w:rPr>
        <w:t>Message From the Chairman</w:t>
      </w:r>
    </w:p>
    <w:p>
      <w:pPr>
        <w:pStyle w:val="BodyText"/>
        <w:bidi w:val="0"/>
        <w:spacing w:before="0" w:after="240"/>
        <w:ind w:left="0" w:right="0" w:hanging="0"/>
        <w:jc w:val="both"/>
        <w:rPr/>
      </w:pPr>
      <w:r>
        <w:rPr/>
        <w:t>​</w:t>
      </w:r>
    </w:p>
    <w:p>
      <w:pPr>
        <w:pStyle w:val="BodyText"/>
        <w:bidi w:val="0"/>
        <w:spacing w:before="0" w:after="100"/>
        <w:ind w:left="0" w:right="0" w:hanging="0"/>
        <w:jc w:val="both"/>
        <w:rPr>
          <w:rFonts w:ascii="Times New Roman;Times;serif" w:hAnsi="Times New Roman;Times;serif"/>
          <w:b/>
          <w:sz w:val="20"/>
        </w:rPr>
      </w:pPr>
      <w:r>
        <w:rPr>
          <w:rFonts w:ascii="Times New Roman;Times;serif" w:hAnsi="Times New Roman;Times;serif"/>
          <w:b/>
          <w:sz w:val="20"/>
        </w:rPr>
        <w:t>Dear Fellow Shareholders:</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I am pleased to forward our Annual Report for fiscal 2026 highlighting our financial results.   A year later, after three successive quarter-point reductions in the federal funds rate in the latter part of 2025, the Federal Open Market Committee, or FOMC, has held rates steady. The U.S. Treasury yield curve emerged from its extended inversion and returned to a more normal upward slope. </w:t>
      </w:r>
    </w:p>
    <w:p>
      <w:pPr>
        <w:pStyle w:val="BodyText"/>
        <w:bidi w:val="0"/>
        <w:spacing w:before="0" w:after="100"/>
        <w:ind w:left="0" w:right="0" w:hanging="0"/>
        <w:jc w:val="both"/>
        <w:rPr>
          <w:rFonts w:ascii="Times New Roman;Times;serif" w:hAnsi="Times New Roman;Times;serif"/>
          <w:b/>
          <w:sz w:val="20"/>
        </w:rPr>
      </w:pPr>
      <w:r>
        <w:rPr>
          <w:rFonts w:ascii="Times New Roman;Times;serif" w:hAnsi="Times New Roman;Times;serif"/>
          <w:b/>
          <w:sz w:val="20"/>
        </w:rPr>
        <w:t>Fiscal 2026  </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Last year, I said our fiscal 2026 Business Plan reflected measured growth in loans and retail deposits, disciplined control of operating expenses, and sound capital management. Our financial results, described in the following Financial Highlights, reflected improved earnings compared to the prior year, despite a moderate decline in total assets.</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During fiscal 2026, as the yield curve normalized, we adjusted our strategy to support increased loan production. Following a 61% increase in loan production during fiscal 2025, we achieved an additional 32% increase in fiscal 2026. However, these production gains were fully offset by higher-than-normal levels of loan prepayments. As a result, our loans held for investment decreased by approximately 1% for the fiscal year. Total deposits increased 2% during the fiscal year although transaction accounts declined 3%. Our net interest margin exceeded 3% for the year, reaching 3.09%, driven primarily by the repricing of Federal Home Loan Bank advances to lower rates as they matured. Despite inflationary pressures, operating expenses increased by less than 1% for the fiscal year. Finally, we recorded no loan charge-offs during fiscal 2026 — our eighth consecutive year without reporting a net charge-off.</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Returning capital to our shareholders is a priority. During fiscal 2026, we maintained our quarterly cash dividend of $0.14 per share and increased our share repurchases to approximately 344,000 shares, compared to approximately 285,000 shares in fiscal 2025. </w:t>
      </w:r>
    </w:p>
    <w:p>
      <w:pPr>
        <w:pStyle w:val="BodyText"/>
        <w:bidi w:val="0"/>
        <w:spacing w:before="0" w:after="100"/>
        <w:ind w:left="0" w:right="0" w:hanging="0"/>
        <w:jc w:val="both"/>
        <w:rPr>
          <w:rFonts w:ascii="Times New Roman;Times;serif" w:hAnsi="Times New Roman;Times;serif"/>
          <w:b/>
          <w:sz w:val="20"/>
        </w:rPr>
      </w:pPr>
      <w:r>
        <w:rPr>
          <w:rFonts w:ascii="Times New Roman;Times;serif" w:hAnsi="Times New Roman;Times;serif"/>
          <w:b/>
          <w:sz w:val="20"/>
        </w:rPr>
        <w:t>Fiscal 2027</w:t>
      </w:r>
    </w:p>
    <w:p>
      <w:pPr>
        <w:pStyle w:val="BodyText"/>
        <w:bidi w:val="0"/>
        <w:spacing w:before="0" w:after="0"/>
        <w:ind w:left="0" w:right="0" w:hanging="0"/>
        <w:jc w:val="both"/>
        <w:rPr>
          <w:rFonts w:ascii="Times New Roman;Times;serif" w:hAnsi="Times New Roman;Times;serif"/>
          <w:sz w:val="20"/>
        </w:rPr>
      </w:pPr>
      <w:r>
        <w:rPr>
          <w:rFonts w:ascii="Times New Roman;Times;serif" w:hAnsi="Times New Roman;Times;serif"/>
          <w:sz w:val="20"/>
        </w:rPr>
        <w:t xml:space="preserve">As we look to fiscal 2027, our priorities remain consistent: measured growth in loans and retail deposits; disciplined expense management; and sound capital management. We believe this approach is the right course in an economy that continues to expand, while recognizing the need to remain cautious amid ongoing market and geopolitical uncertainties. We expect to continue returning capital to shareholders through dividends and share repurchases while maintaining sufficient capital to support our business strategy and withstand potential losses under adverse conditions.</w:t>
      </w:r>
    </w:p>
    <w:p>
      <w:pPr>
        <w:pStyle w:val="HorizontalLine"/>
        <w:bidi w:val="0"/>
        <w:jc w:val="left"/>
        <w:rPr/>
      </w:pPr>
      <w:r>
        <w:rPr/>
      </w:r>
    </w:p>
    <w:p>
      <w:pPr>
        <w:pStyle w:val="BodyText"/>
        <w:bidi w:val="0"/>
        <w:spacing w:before="0" w:after="100"/>
        <w:ind w:left="0" w:right="0" w:hanging="0"/>
        <w:jc w:val="both"/>
        <w:rPr>
          <w:rFonts w:ascii="Times New Roman;Times;serif" w:hAnsi="Times New Roman;Times;serif"/>
          <w:b/>
          <w:sz w:val="20"/>
        </w:rPr>
      </w:pPr>
      <w:r>
        <w:rPr>
          <w:rFonts w:ascii="Times New Roman;Times;serif" w:hAnsi="Times New Roman;Times;serif"/>
          <w:b/>
          <w:sz w:val="20"/>
        </w:rPr>
        <w:t xml:space="preserve">A Final Word </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This year, Provident proudly celebrates the 70</w:t>
      </w:r>
      <w:r>
        <w:rPr>
          <w:rFonts w:ascii="Times New Roman;Times;serif" w:hAnsi="Times New Roman;Times;serif"/>
          <w:sz w:val="15"/>
        </w:rPr>
        <w:t xml:space="preserve">th</w:t>
      </w:r>
      <w:r>
        <w:rPr>
          <w:rFonts w:ascii="Times New Roman;Times;serif" w:hAnsi="Times New Roman;Times;serif"/>
          <w:sz w:val="20"/>
        </w:rPr>
        <w:t xml:space="preserve"> anniversary of its founding, serving the great city of Riverside and its surrounding communities. As the largest independent community bank headquartered in Riverside County, we are proud of our distinguished history as a trusted provider of banking services. Just as importantly, we are proud of the commitment demonstrated throughout our organization to strengthen the communities we serve through volunteer service, charitable support and community investment. As we look to the year ahead and beyond, I want to assure you that the Board, management team and employees of Provident remain dedicated to carrying forward the Company’s reputation and legacy, just as we have since our founding. We will remain true to our community banking roots and focus on serving the families and small businesses of the Inland Empire. That heritage is central to who we are, and we intend to build on it in the years to come.</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 xml:space="preserve">In closing, I want to recognize and thank our employees and Directors for their commitment and service to Provident. Their efforts make our success possible. I also extend my sincere appreciation to our customers, shareholders, and the communities we serve for the confidence you place in us. Our continued success depends on the trust you place in Provident, and we are grateful for the opportunity to serve you.</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Sincerely,</w:t>
      </w:r>
    </w:p>
    <w:p>
      <w:pPr>
        <w:pStyle w:val="BodyText"/>
        <w:bidi w:val="0"/>
        <w:spacing w:before="0" w:after="240"/>
        <w:ind w:left="0" w:right="0" w:hanging="0"/>
        <w:jc w:val="both"/>
        <w:rPr/>
      </w:pPr>
      <w:r>
        <w:rPr/>
        <w:t>​</w:t>
      </w:r>
    </w:p>
    <w:p>
      <w:pPr>
        <w:pStyle w:val="BodyText"/>
        <w:pBdr>
          <w:bottom w:val="single" w:color="000000" w:sz="2" w:space="1"/>
        </w:pBdr>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/s/ Craig G. Blunden</w:t>
      </w:r>
    </w:p>
    <w:p>
      <w:pPr>
        <w:pStyle w:val="BodyText"/>
        <w:bidi w:val="0"/>
        <w:spacing w:before="0" w:after="100"/>
        <w:ind w:left="0" w:right="0" w:hanging="0"/>
        <w:jc w:val="left"/>
        <w:rPr>
          <w:rFonts w:ascii="Times New Roman;Times;serif" w:hAnsi="Times New Roman;Times;serif"/>
          <w:sz w:val="20"/>
        </w:rPr>
      </w:pPr>
      <w:r>
        <w:rPr>
          <w:rFonts w:ascii="Times New Roman;Times;serif" w:hAnsi="Times New Roman;Times;serif"/>
          <w:sz w:val="20"/>
        </w:rPr>
        <w:t>Craig G. Blunden</w:t>
      </w:r>
    </w:p>
    <w:p>
      <w:pPr>
        <w:pStyle w:val="BodyText"/>
        <w:bidi w:val="0"/>
        <w:spacing w:before="0" w:after="100"/>
        <w:ind w:left="0" w:right="0" w:hanging="0"/>
        <w:jc w:val="both"/>
        <w:rPr>
          <w:rFonts w:ascii="Times New Roman;Times;serif" w:hAnsi="Times New Roman;Times;serif"/>
          <w:sz w:val="20"/>
        </w:rPr>
      </w:pPr>
      <w:r>
        <w:rPr>
          <w:rFonts w:ascii="Times New Roman;Times;serif" w:hAnsi="Times New Roman;Times;serif"/>
          <w:sz w:val="20"/>
        </w:rPr>
        <w:t>Chairman of the Board of Directors</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Financial Highlights</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The following tables set forth information concerning the consolidated financial position and results of operations of the Corporation and its subsidiary at the dates and for the periods indicated.</w:t>
      </w:r>
    </w:p>
    <w:tbl>
      <w:tblPr>
        <w:tblW w:w="10539" w:type="dxa"/>
        <w:jc w:val="left"/>
        <w:tblInd w:w="0" w:type="dxa"/>
        <w:tblLayout w:type="fixed"/>
        <w:tblCellMar>
          <w:top w:w="0" w:type="dxa"/>
          <w:left w:w="0" w:type="dxa"/>
          <w:bottom w:w="0" w:type="dxa"/>
          <w:right w:w="0" w:type="dxa"/>
        </w:tblCellMar>
      </w:tblPr>
      <w:tblGrid>
        <w:gridCol w:w="3319"/>
        <w:gridCol w:w="346"/>
        <w:gridCol w:w="203"/>
        <w:gridCol w:w="886"/>
        <w:gridCol w:w="346"/>
        <w:gridCol w:w="203"/>
        <w:gridCol w:w="886"/>
        <w:gridCol w:w="346"/>
        <w:gridCol w:w="203"/>
        <w:gridCol w:w="886"/>
        <w:gridCol w:w="346"/>
        <w:gridCol w:w="203"/>
        <w:gridCol w:w="886"/>
        <w:gridCol w:w="346"/>
        <w:gridCol w:w="203"/>
        <w:gridCol w:w="931"/>
      </w:tblGrid>
      <w:tr>
        <w:trPr/>
        <w:tc>
          <w:tcPr>
            <w:tcW w:w="3319"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 behindDoc="0" locked="0" layoutInCell="1" allowOverlap="1">
                      <wp:simplePos x="0" y="0"/>
                      <wp:positionH relativeFrom="character">
                        <wp:align>left</wp:align>
                      </wp:positionH>
                      <wp:positionV relativeFrom="line">
                        <wp:posOffset>635</wp:posOffset>
                      </wp:positionV>
                      <wp:extent cx="2107565" cy="175260"/>
                      <wp:effectExtent l="0" t="0" r="0" b="0"/>
                      <wp:wrapNone/>
                      <wp:docPr id="2" name="Frame1"/>
                      <a:graphic xmlns:a="http://schemas.openxmlformats.org/drawingml/2006/main">
                        <a:graphicData uri="http://schemas.microsoft.com/office/word/2010/wordprocessingShape">
                          <wps:wsp>
                            <wps:cNvSpPr txBox="1"/>
                            <wps:spPr>
                              <a:xfrm>
                                <a:off x="0" y="0"/>
                                <a:ext cx="210756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65.9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3" behindDoc="0" locked="0" layoutInCell="1" allowOverlap="1">
                      <wp:simplePos x="0" y="0"/>
                      <wp:positionH relativeFrom="character">
                        <wp:align>left</wp:align>
                      </wp:positionH>
                      <wp:positionV relativeFrom="line">
                        <wp:posOffset>635</wp:posOffset>
                      </wp:positionV>
                      <wp:extent cx="219710" cy="175260"/>
                      <wp:effectExtent l="0" t="0" r="0" b="0"/>
                      <wp:wrapNone/>
                      <wp:docPr id="3" name="Frame2"/>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4" behindDoc="0" locked="0" layoutInCell="1" allowOverlap="1">
                      <wp:simplePos x="0" y="0"/>
                      <wp:positionH relativeFrom="character">
                        <wp:align>left</wp:align>
                      </wp:positionH>
                      <wp:positionV relativeFrom="line">
                        <wp:posOffset>635</wp:posOffset>
                      </wp:positionV>
                      <wp:extent cx="128905" cy="175260"/>
                      <wp:effectExtent l="0" t="0" r="0" b="0"/>
                      <wp:wrapNone/>
                      <wp:docPr id="4" name="Frame3"/>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88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5" behindDoc="0" locked="0" layoutInCell="1" allowOverlap="1">
                      <wp:simplePos x="0" y="0"/>
                      <wp:positionH relativeFrom="character">
                        <wp:align>left</wp:align>
                      </wp:positionH>
                      <wp:positionV relativeFrom="line">
                        <wp:posOffset>635</wp:posOffset>
                      </wp:positionV>
                      <wp:extent cx="562610" cy="175260"/>
                      <wp:effectExtent l="0" t="0" r="0" b="0"/>
                      <wp:wrapNone/>
                      <wp:docPr id="5" name="Frame4"/>
                      <a:graphic xmlns:a="http://schemas.openxmlformats.org/drawingml/2006/main">
                        <a:graphicData uri="http://schemas.microsoft.com/office/word/2010/wordprocessingShape">
                          <wps:wsp>
                            <wps:cNvSpPr txBox="1"/>
                            <wps:spPr>
                              <a:xfrm>
                                <a:off x="0" y="0"/>
                                <a:ext cx="5626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4.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6" behindDoc="0" locked="0" layoutInCell="1" allowOverlap="1">
                      <wp:simplePos x="0" y="0"/>
                      <wp:positionH relativeFrom="character">
                        <wp:align>left</wp:align>
                      </wp:positionH>
                      <wp:positionV relativeFrom="line">
                        <wp:posOffset>635</wp:posOffset>
                      </wp:positionV>
                      <wp:extent cx="219710" cy="175260"/>
                      <wp:effectExtent l="0" t="0" r="0" b="0"/>
                      <wp:wrapNone/>
                      <wp:docPr id="6" name="Frame5"/>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7" behindDoc="0" locked="0" layoutInCell="1" allowOverlap="1">
                      <wp:simplePos x="0" y="0"/>
                      <wp:positionH relativeFrom="character">
                        <wp:align>left</wp:align>
                      </wp:positionH>
                      <wp:positionV relativeFrom="line">
                        <wp:posOffset>635</wp:posOffset>
                      </wp:positionV>
                      <wp:extent cx="128905" cy="175260"/>
                      <wp:effectExtent l="0" t="0" r="0" b="0"/>
                      <wp:wrapNone/>
                      <wp:docPr id="7" name="Frame6"/>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88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8" behindDoc="0" locked="0" layoutInCell="1" allowOverlap="1">
                      <wp:simplePos x="0" y="0"/>
                      <wp:positionH relativeFrom="character">
                        <wp:align>left</wp:align>
                      </wp:positionH>
                      <wp:positionV relativeFrom="line">
                        <wp:posOffset>635</wp:posOffset>
                      </wp:positionV>
                      <wp:extent cx="562610" cy="175260"/>
                      <wp:effectExtent l="0" t="0" r="0" b="0"/>
                      <wp:wrapNone/>
                      <wp:docPr id="8" name="Frame7"/>
                      <a:graphic xmlns:a="http://schemas.openxmlformats.org/drawingml/2006/main">
                        <a:graphicData uri="http://schemas.microsoft.com/office/word/2010/wordprocessingShape">
                          <wps:wsp>
                            <wps:cNvSpPr txBox="1"/>
                            <wps:spPr>
                              <a:xfrm>
                                <a:off x="0" y="0"/>
                                <a:ext cx="5626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4.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9" behindDoc="0" locked="0" layoutInCell="1" allowOverlap="1">
                      <wp:simplePos x="0" y="0"/>
                      <wp:positionH relativeFrom="character">
                        <wp:align>left</wp:align>
                      </wp:positionH>
                      <wp:positionV relativeFrom="line">
                        <wp:posOffset>635</wp:posOffset>
                      </wp:positionV>
                      <wp:extent cx="219710" cy="175260"/>
                      <wp:effectExtent l="0" t="0" r="0" b="0"/>
                      <wp:wrapNone/>
                      <wp:docPr id="9" name="Frame8"/>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0" behindDoc="0" locked="0" layoutInCell="1" allowOverlap="1">
                      <wp:simplePos x="0" y="0"/>
                      <wp:positionH relativeFrom="character">
                        <wp:align>left</wp:align>
                      </wp:positionH>
                      <wp:positionV relativeFrom="line">
                        <wp:posOffset>635</wp:posOffset>
                      </wp:positionV>
                      <wp:extent cx="128905" cy="175260"/>
                      <wp:effectExtent l="0" t="0" r="0" b="0"/>
                      <wp:wrapNone/>
                      <wp:docPr id="10" name="Frame9"/>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88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1" behindDoc="0" locked="0" layoutInCell="1" allowOverlap="1">
                      <wp:simplePos x="0" y="0"/>
                      <wp:positionH relativeFrom="character">
                        <wp:align>left</wp:align>
                      </wp:positionH>
                      <wp:positionV relativeFrom="line">
                        <wp:posOffset>635</wp:posOffset>
                      </wp:positionV>
                      <wp:extent cx="562610" cy="175260"/>
                      <wp:effectExtent l="0" t="0" r="0" b="0"/>
                      <wp:wrapNone/>
                      <wp:docPr id="11" name="Frame10"/>
                      <a:graphic xmlns:a="http://schemas.openxmlformats.org/drawingml/2006/main">
                        <a:graphicData uri="http://schemas.microsoft.com/office/word/2010/wordprocessingShape">
                          <wps:wsp>
                            <wps:cNvSpPr txBox="1"/>
                            <wps:spPr>
                              <a:xfrm>
                                <a:off x="0" y="0"/>
                                <a:ext cx="5626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4.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2" behindDoc="0" locked="0" layoutInCell="1" allowOverlap="1">
                      <wp:simplePos x="0" y="0"/>
                      <wp:positionH relativeFrom="character">
                        <wp:align>left</wp:align>
                      </wp:positionH>
                      <wp:positionV relativeFrom="line">
                        <wp:posOffset>635</wp:posOffset>
                      </wp:positionV>
                      <wp:extent cx="219710" cy="175260"/>
                      <wp:effectExtent l="0" t="0" r="0" b="0"/>
                      <wp:wrapNone/>
                      <wp:docPr id="12" name="Frame11"/>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3" behindDoc="0" locked="0" layoutInCell="1" allowOverlap="1">
                      <wp:simplePos x="0" y="0"/>
                      <wp:positionH relativeFrom="character">
                        <wp:align>left</wp:align>
                      </wp:positionH>
                      <wp:positionV relativeFrom="line">
                        <wp:posOffset>635</wp:posOffset>
                      </wp:positionV>
                      <wp:extent cx="128905" cy="175260"/>
                      <wp:effectExtent l="0" t="0" r="0" b="0"/>
                      <wp:wrapNone/>
                      <wp:docPr id="13" name="Frame12"/>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88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4" behindDoc="0" locked="0" layoutInCell="1" allowOverlap="1">
                      <wp:simplePos x="0" y="0"/>
                      <wp:positionH relativeFrom="character">
                        <wp:align>left</wp:align>
                      </wp:positionH>
                      <wp:positionV relativeFrom="line">
                        <wp:posOffset>635</wp:posOffset>
                      </wp:positionV>
                      <wp:extent cx="562610" cy="175260"/>
                      <wp:effectExtent l="0" t="0" r="0" b="0"/>
                      <wp:wrapNone/>
                      <wp:docPr id="14" name="Frame13"/>
                      <a:graphic xmlns:a="http://schemas.openxmlformats.org/drawingml/2006/main">
                        <a:graphicData uri="http://schemas.microsoft.com/office/word/2010/wordprocessingShape">
                          <wps:wsp>
                            <wps:cNvSpPr txBox="1"/>
                            <wps:spPr>
                              <a:xfrm>
                                <a:off x="0" y="0"/>
                                <a:ext cx="5626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4.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5" behindDoc="0" locked="0" layoutInCell="1" allowOverlap="1">
                      <wp:simplePos x="0" y="0"/>
                      <wp:positionH relativeFrom="character">
                        <wp:align>left</wp:align>
                      </wp:positionH>
                      <wp:positionV relativeFrom="line">
                        <wp:posOffset>635</wp:posOffset>
                      </wp:positionV>
                      <wp:extent cx="219710" cy="175260"/>
                      <wp:effectExtent l="0" t="0" r="0" b="0"/>
                      <wp:wrapNone/>
                      <wp:docPr id="15" name="Frame14"/>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20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6" behindDoc="0" locked="0" layoutInCell="1" allowOverlap="1">
                      <wp:simplePos x="0" y="0"/>
                      <wp:positionH relativeFrom="character">
                        <wp:align>left</wp:align>
                      </wp:positionH>
                      <wp:positionV relativeFrom="line">
                        <wp:posOffset>635</wp:posOffset>
                      </wp:positionV>
                      <wp:extent cx="128905" cy="175260"/>
                      <wp:effectExtent l="0" t="0" r="0" b="0"/>
                      <wp:wrapNone/>
                      <wp:docPr id="16" name="Frame15"/>
                      <a:graphic xmlns:a="http://schemas.openxmlformats.org/drawingml/2006/main">
                        <a:graphicData uri="http://schemas.microsoft.com/office/word/2010/wordprocessingShape">
                          <wps:wsp>
                            <wps:cNvSpPr txBox="1"/>
                            <wps:spPr>
                              <a:xfrm>
                                <a:off x="0" y="0"/>
                                <a:ext cx="12890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0.1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931"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7" behindDoc="0" locked="0" layoutInCell="1" allowOverlap="1">
                      <wp:simplePos x="0" y="0"/>
                      <wp:positionH relativeFrom="character">
                        <wp:align>left</wp:align>
                      </wp:positionH>
                      <wp:positionV relativeFrom="line">
                        <wp:posOffset>635</wp:posOffset>
                      </wp:positionV>
                      <wp:extent cx="591185" cy="175260"/>
                      <wp:effectExtent l="0" t="0" r="0" b="0"/>
                      <wp:wrapNone/>
                      <wp:docPr id="17" name="Frame16"/>
                      <a:graphic xmlns:a="http://schemas.openxmlformats.org/drawingml/2006/main">
                        <a:graphicData uri="http://schemas.microsoft.com/office/word/2010/wordprocessingShape">
                          <wps:wsp>
                            <wps:cNvSpPr txBox="1"/>
                            <wps:spPr>
                              <a:xfrm>
                                <a:off x="0" y="0"/>
                                <a:ext cx="59118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46.5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r>
      <w:tr>
        <w:trPr/>
        <w:tc>
          <w:tcPr>
            <w:tcW w:w="3319"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6874" w:type="dxa"/>
            <w:gridSpan w:val="14"/>
            <w:tcBorders>
              <w:bottom w:val="single" w:color="000000" w:sz="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At or For The Year Ended June 30,</w:t>
            </w:r>
          </w:p>
        </w:tc>
      </w:tr>
      <w:tr>
        <w:trPr/>
        <w:tc>
          <w:tcPr>
            <w:tcW w:w="3319"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 Thousands, Except Per Share Information)</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089"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2026</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089"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2025</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089"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2024</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089"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2023</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1134" w:type="dxa"/>
            <w:gridSpan w:val="2"/>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2022</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FINANCIAL CONDITION DATA:</w:t>
            </w:r>
          </w:p>
        </w:tc>
        <w:tc>
          <w:tcPr>
            <w:tcW w:w="346" w:type="dxa"/>
            <w:tcBorders/>
            <w:shd w:val="clear" w:fill="CCEEFF"/>
            <w:vAlign w:val="center"/>
          </w:tcPr>
          <w:p>
            <w:pPr>
              <w:pStyle w:val="TableContents"/>
              <w:bidi w:val="0"/>
              <w:spacing w:before="0" w:after="0"/>
              <w:ind w:left="0" w:right="0" w:hanging="0"/>
              <w:jc w:val="left"/>
              <w:rPr/>
            </w:pPr>
            <w:r>
              <w:rPr/>
              <w:t>  ​ ​ ​</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left"/>
              <w:rPr/>
            </w:pPr>
            <w:r>
              <w:rPr/>
              <w:t>​</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Total assets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1,208,161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1,245,613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1,272,200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1,332,948</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1,187,038</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Loans held for investment, net</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1,032,682</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1,045,745</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1,052,979</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1,077,629</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939,992</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Cash and cash equivalents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49,210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53,090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51,376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65,849</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23,414</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Investment securities</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90,523</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111,006</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131,900</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156,492</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188,421</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Deposits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910,383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888,772</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888,348</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950,571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955,504</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Borrowings</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157,046</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213,073</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238,500</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235,009</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85,000</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Stockholders’ equity</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126,220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128,545</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129,941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129,687</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128,650</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Book value per share</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20.15</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19.54</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18.98</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18.41</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17.66</w:t>
            </w:r>
          </w:p>
        </w:tc>
      </w:tr>
      <w:tr>
        <w:trPr/>
        <w:tc>
          <w:tcPr>
            <w:tcW w:w="3319"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left"/>
              <w:rPr/>
            </w:pPr>
            <w:r>
              <w:rPr/>
              <w:t>​</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OPERATING DATA:</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pPr>
            <w:r>
              <w:rPr/>
              <w:t>  ​</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pPr>
            <w:r>
              <w:rPr/>
              <w:t>  ​</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pPr>
            <w:r>
              <w:rPr/>
              <w:t>  ​</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pPr>
            <w:r>
              <w:rPr/>
              <w:t>  ​</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pPr>
            <w:r>
              <w:rPr/>
              <w:t>  ​</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Interest income</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55,889</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56,624</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54,730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45,992</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34,730</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Interest expense</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19,561</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21,155</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19,807</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9,007</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3,135</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interest income</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36,328</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35,469</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34,923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36,985</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31,595</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(Recovery of) provision for credit losses</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(553)</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(666)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(63)</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374</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(2,462)</w:t>
            </w:r>
          </w:p>
        </w:tc>
      </w:tr>
      <w:tr>
        <w:trPr/>
        <w:tc>
          <w:tcPr>
            <w:tcW w:w="3319" w:type="dxa"/>
            <w:tcBorders/>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interest income after (recovery of) provision for credit losses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36,881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36,135</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34,986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36,611</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34,057</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Loan servicing and other fees</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583</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419</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337</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414</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1,056</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Deposit account fees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1,067</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1,112</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1,154</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1,296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1,302</w:t>
            </w:r>
          </w:p>
        </w:tc>
      </w:tr>
      <w:tr>
        <w:trPr/>
        <w:tc>
          <w:tcPr>
            <w:tcW w:w="3319"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Card and processing fees</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1,203</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1,265</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1,384</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886"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1,525</w:t>
            </w:r>
          </w:p>
        </w:tc>
        <w:tc>
          <w:tcPr>
            <w:tcW w:w="346" w:type="dxa"/>
            <w:tcBorders/>
            <w:shd w:val="clear" w:fill="CCEEFF"/>
            <w:vAlign w:val="center"/>
          </w:tcPr>
          <w:p>
            <w:pPr>
              <w:pStyle w:val="TableContents"/>
              <w:bidi w:val="0"/>
              <w:spacing w:before="0" w:after="0"/>
              <w:ind w:left="0" w:right="0" w:hanging="0"/>
              <w:jc w:val="left"/>
              <w:rPr/>
            </w:pPr>
            <w:r>
              <w:rPr/>
              <w:t>​</w:t>
            </w:r>
          </w:p>
        </w:tc>
        <w:tc>
          <w:tcPr>
            <w:tcW w:w="203" w:type="dxa"/>
            <w:tcBorders/>
            <w:shd w:val="clear" w:fill="CCEEFF"/>
            <w:vAlign w:val="center"/>
          </w:tcPr>
          <w:p>
            <w:pPr>
              <w:pStyle w:val="TableContents"/>
              <w:bidi w:val="0"/>
              <w:spacing w:before="0" w:after="0"/>
              <w:ind w:left="0" w:right="0" w:hanging="0"/>
              <w:jc w:val="left"/>
              <w:rPr/>
            </w:pPr>
            <w:r>
              <w:rPr/>
              <w:t>​</w:t>
            </w:r>
          </w:p>
        </w:tc>
        <w:tc>
          <w:tcPr>
            <w:tcW w:w="931"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1,639</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Other non-interest income</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873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735</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1,066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840</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719</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Operating expenses</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30,971</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30,793</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28,540</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28,270</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25,915</w:t>
            </w:r>
          </w:p>
        </w:tc>
      </w:tr>
      <w:tr>
        <w:trPr/>
        <w:tc>
          <w:tcPr>
            <w:tcW w:w="3319"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Income before income taxes</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9,636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8,873</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10,387</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886"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12,416</w:t>
            </w:r>
          </w:p>
        </w:tc>
        <w:tc>
          <w:tcPr>
            <w:tcW w:w="346" w:type="dxa"/>
            <w:tcBorders/>
            <w:vAlign w:val="center"/>
          </w:tcPr>
          <w:p>
            <w:pPr>
              <w:pStyle w:val="TableContents"/>
              <w:bidi w:val="0"/>
              <w:spacing w:before="0" w:after="0"/>
              <w:ind w:left="0" w:right="0" w:hanging="0"/>
              <w:jc w:val="left"/>
              <w:rPr/>
            </w:pPr>
            <w:r>
              <w:rPr/>
              <w:t>​</w:t>
            </w:r>
          </w:p>
        </w:tc>
        <w:tc>
          <w:tcPr>
            <w:tcW w:w="203" w:type="dxa"/>
            <w:tcBorders/>
            <w:vAlign w:val="center"/>
          </w:tcPr>
          <w:p>
            <w:pPr>
              <w:pStyle w:val="TableContents"/>
              <w:bidi w:val="0"/>
              <w:spacing w:before="0" w:after="0"/>
              <w:ind w:left="0" w:right="0" w:hanging="0"/>
              <w:jc w:val="left"/>
              <w:rPr/>
            </w:pPr>
            <w:r>
              <w:rPr/>
              <w:t>​</w:t>
            </w:r>
          </w:p>
        </w:tc>
        <w:tc>
          <w:tcPr>
            <w:tcW w:w="931"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12,858</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Provision for income taxes</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2,981</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2,618</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3,036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3,824</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3,765</w:t>
            </w:r>
          </w:p>
        </w:tc>
      </w:tr>
      <w:tr>
        <w:trPr/>
        <w:tc>
          <w:tcPr>
            <w:tcW w:w="3319"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income</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6,655</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6,255</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7,351</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8,592</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9,093</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Basic earnings per share</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1.04</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0.93</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1.20</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1.23</w:t>
            </w:r>
          </w:p>
        </w:tc>
      </w:tr>
      <w:tr>
        <w:trPr/>
        <w:tc>
          <w:tcPr>
            <w:tcW w:w="3319"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Diluted earnings per share</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0.93</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1.06</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1.19</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1.22</w:t>
            </w:r>
          </w:p>
        </w:tc>
      </w:tr>
      <w:tr>
        <w:trPr/>
        <w:tc>
          <w:tcPr>
            <w:tcW w:w="3319"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Cash dividend per share</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886" w:type="dxa"/>
            <w:tcBorders>
              <w:bottom w:val="single" w:color="000000" w:sz="12" w:space="0"/>
            </w:tcBorders>
            <w:shd w:val="clear" w:fill="CCEEFF"/>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0.56</w:t>
            </w:r>
          </w:p>
        </w:tc>
        <w:tc>
          <w:tcPr>
            <w:tcW w:w="346"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pPr>
            <w:r>
              <w:rPr/>
              <w:t>​</w:t>
            </w:r>
          </w:p>
        </w:tc>
        <w:tc>
          <w:tcPr>
            <w:tcW w:w="203" w:type="dxa"/>
            <w:tcBorders>
              <w:bottom w:val="single" w:color="000000" w:sz="12" w:space="0"/>
            </w:tcBorders>
            <w:shd w:val="clear" w:fill="CCEEFF"/>
            <w:tcMar>
              <w:bottom w:w="28" w:type="dxa"/>
            </w:tcMar>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c>
          <w:tcPr>
            <w:tcW w:w="931" w:type="dxa"/>
            <w:tcBorders>
              <w:bottom w:val="single" w:color="000000" w:sz="12" w:space="0"/>
            </w:tcBorders>
            <w:shd w:val="clear" w:fill="CCEEFF"/>
            <w:tcMar>
              <w:bottom w:w="28" w:type="dxa"/>
            </w:tcMar>
            <w:vAlign w:val="center"/>
          </w:tcPr>
          <w:p>
            <w:pPr>
              <w:pStyle w:val="TableContents"/>
              <w:bidi w:val="0"/>
              <w:spacing w:before="0" w:after="0"/>
              <w:ind w:left="0" w:right="72" w:hanging="0"/>
              <w:jc w:val="right"/>
              <w:rPr>
                <w:rFonts w:ascii="Times New Roman;Times;serif" w:hAnsi="Times New Roman;Times;serif"/>
                <w:sz w:val="20"/>
              </w:rPr>
            </w:pPr>
            <w:r>
              <w:rPr>
                <w:rFonts w:ascii="Times New Roman;Times;serif" w:hAnsi="Times New Roman;Times;serif"/>
                <w:sz w:val="20"/>
              </w:rPr>
              <w:t>0.56</w:t>
            </w:r>
          </w:p>
        </w:tc>
      </w:tr>
    </w:tbl>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Financial Highlights</w:t>
      </w:r>
    </w:p>
    <w:tbl>
      <w:tblPr>
        <w:tblW w:w="10539" w:type="dxa"/>
        <w:jc w:val="left"/>
        <w:tblInd w:w="0" w:type="dxa"/>
        <w:tblLayout w:type="fixed"/>
        <w:tblCellMar>
          <w:top w:w="0" w:type="dxa"/>
          <w:left w:w="0" w:type="dxa"/>
          <w:bottom w:w="0" w:type="dxa"/>
          <w:right w:w="0" w:type="dxa"/>
        </w:tblCellMar>
      </w:tblPr>
      <w:tblGrid>
        <w:gridCol w:w="5214"/>
        <w:gridCol w:w="346"/>
        <w:gridCol w:w="642"/>
        <w:gridCol w:w="364"/>
        <w:gridCol w:w="642"/>
        <w:gridCol w:w="364"/>
        <w:gridCol w:w="642"/>
        <w:gridCol w:w="364"/>
        <w:gridCol w:w="642"/>
        <w:gridCol w:w="364"/>
        <w:gridCol w:w="642"/>
        <w:gridCol w:w="313"/>
      </w:tblGrid>
      <w:tr>
        <w:trPr/>
        <w:tc>
          <w:tcPr>
            <w:tcW w:w="521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8" behindDoc="0" locked="0" layoutInCell="1" allowOverlap="1">
                      <wp:simplePos x="0" y="0"/>
                      <wp:positionH relativeFrom="character">
                        <wp:align>left</wp:align>
                      </wp:positionH>
                      <wp:positionV relativeFrom="line">
                        <wp:posOffset>635</wp:posOffset>
                      </wp:positionV>
                      <wp:extent cx="3310890" cy="175260"/>
                      <wp:effectExtent l="0" t="0" r="0" b="0"/>
                      <wp:wrapNone/>
                      <wp:docPr id="18" name="Frame17"/>
                      <a:graphic xmlns:a="http://schemas.openxmlformats.org/drawingml/2006/main">
                        <a:graphicData uri="http://schemas.microsoft.com/office/word/2010/wordprocessingShape">
                          <wps:wsp>
                            <wps:cNvSpPr txBox="1"/>
                            <wps:spPr>
                              <a:xfrm>
                                <a:off x="0" y="0"/>
                                <a:ext cx="331089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260.7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19" behindDoc="0" locked="0" layoutInCell="1" allowOverlap="1">
                      <wp:simplePos x="0" y="0"/>
                      <wp:positionH relativeFrom="character">
                        <wp:align>left</wp:align>
                      </wp:positionH>
                      <wp:positionV relativeFrom="line">
                        <wp:posOffset>635</wp:posOffset>
                      </wp:positionV>
                      <wp:extent cx="219710" cy="175260"/>
                      <wp:effectExtent l="0" t="0" r="0" b="0"/>
                      <wp:wrapNone/>
                      <wp:docPr id="19" name="Frame18"/>
                      <a:graphic xmlns:a="http://schemas.openxmlformats.org/drawingml/2006/main">
                        <a:graphicData uri="http://schemas.microsoft.com/office/word/2010/wordprocessingShape">
                          <wps:wsp>
                            <wps:cNvSpPr txBox="1"/>
                            <wps:spPr>
                              <a:xfrm>
                                <a:off x="0" y="0"/>
                                <a:ext cx="21971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7.3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0" behindDoc="0" locked="0" layoutInCell="1" allowOverlap="1">
                      <wp:simplePos x="0" y="0"/>
                      <wp:positionH relativeFrom="character">
                        <wp:align>left</wp:align>
                      </wp:positionH>
                      <wp:positionV relativeFrom="line">
                        <wp:posOffset>635</wp:posOffset>
                      </wp:positionV>
                      <wp:extent cx="407670" cy="175260"/>
                      <wp:effectExtent l="0" t="0" r="0" b="0"/>
                      <wp:wrapNone/>
                      <wp:docPr id="20" name="Frame19"/>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6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1" behindDoc="0" locked="0" layoutInCell="1" allowOverlap="1">
                      <wp:simplePos x="0" y="0"/>
                      <wp:positionH relativeFrom="character">
                        <wp:align>left</wp:align>
                      </wp:positionH>
                      <wp:positionV relativeFrom="line">
                        <wp:posOffset>635</wp:posOffset>
                      </wp:positionV>
                      <wp:extent cx="231140" cy="175260"/>
                      <wp:effectExtent l="0" t="0" r="0" b="0"/>
                      <wp:wrapNone/>
                      <wp:docPr id="21" name="Frame20"/>
                      <a:graphic xmlns:a="http://schemas.openxmlformats.org/drawingml/2006/main">
                        <a:graphicData uri="http://schemas.microsoft.com/office/word/2010/wordprocessingShape">
                          <wps:wsp>
                            <wps:cNvSpPr txBox="1"/>
                            <wps:spPr>
                              <a:xfrm>
                                <a:off x="0" y="0"/>
                                <a:ext cx="23114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8.2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2" behindDoc="0" locked="0" layoutInCell="1" allowOverlap="1">
                      <wp:simplePos x="0" y="0"/>
                      <wp:positionH relativeFrom="character">
                        <wp:align>left</wp:align>
                      </wp:positionH>
                      <wp:positionV relativeFrom="line">
                        <wp:posOffset>635</wp:posOffset>
                      </wp:positionV>
                      <wp:extent cx="407670" cy="175260"/>
                      <wp:effectExtent l="0" t="0" r="0" b="0"/>
                      <wp:wrapNone/>
                      <wp:docPr id="22" name="Frame21"/>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6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3" behindDoc="0" locked="0" layoutInCell="1" allowOverlap="1">
                      <wp:simplePos x="0" y="0"/>
                      <wp:positionH relativeFrom="character">
                        <wp:align>left</wp:align>
                      </wp:positionH>
                      <wp:positionV relativeFrom="line">
                        <wp:posOffset>635</wp:posOffset>
                      </wp:positionV>
                      <wp:extent cx="231140" cy="175260"/>
                      <wp:effectExtent l="0" t="0" r="0" b="0"/>
                      <wp:wrapNone/>
                      <wp:docPr id="23" name="Frame22"/>
                      <a:graphic xmlns:a="http://schemas.openxmlformats.org/drawingml/2006/main">
                        <a:graphicData uri="http://schemas.microsoft.com/office/word/2010/wordprocessingShape">
                          <wps:wsp>
                            <wps:cNvSpPr txBox="1"/>
                            <wps:spPr>
                              <a:xfrm>
                                <a:off x="0" y="0"/>
                                <a:ext cx="23114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8.2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4" behindDoc="0" locked="0" layoutInCell="1" allowOverlap="1">
                      <wp:simplePos x="0" y="0"/>
                      <wp:positionH relativeFrom="character">
                        <wp:align>left</wp:align>
                      </wp:positionH>
                      <wp:positionV relativeFrom="line">
                        <wp:posOffset>635</wp:posOffset>
                      </wp:positionV>
                      <wp:extent cx="407670" cy="175260"/>
                      <wp:effectExtent l="0" t="0" r="0" b="0"/>
                      <wp:wrapNone/>
                      <wp:docPr id="24" name="Frame23"/>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6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5" behindDoc="0" locked="0" layoutInCell="1" allowOverlap="1">
                      <wp:simplePos x="0" y="0"/>
                      <wp:positionH relativeFrom="character">
                        <wp:align>left</wp:align>
                      </wp:positionH>
                      <wp:positionV relativeFrom="line">
                        <wp:posOffset>635</wp:posOffset>
                      </wp:positionV>
                      <wp:extent cx="231140" cy="175260"/>
                      <wp:effectExtent l="0" t="0" r="0" b="0"/>
                      <wp:wrapNone/>
                      <wp:docPr id="25" name="Frame24"/>
                      <a:graphic xmlns:a="http://schemas.openxmlformats.org/drawingml/2006/main">
                        <a:graphicData uri="http://schemas.microsoft.com/office/word/2010/wordprocessingShape">
                          <wps:wsp>
                            <wps:cNvSpPr txBox="1"/>
                            <wps:spPr>
                              <a:xfrm>
                                <a:off x="0" y="0"/>
                                <a:ext cx="23114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8.2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6" behindDoc="0" locked="0" layoutInCell="1" allowOverlap="1">
                      <wp:simplePos x="0" y="0"/>
                      <wp:positionH relativeFrom="character">
                        <wp:align>left</wp:align>
                      </wp:positionH>
                      <wp:positionV relativeFrom="line">
                        <wp:posOffset>635</wp:posOffset>
                      </wp:positionV>
                      <wp:extent cx="407670" cy="175260"/>
                      <wp:effectExtent l="0" t="0" r="0" b="0"/>
                      <wp:wrapNone/>
                      <wp:docPr id="26" name="Frame25"/>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64"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7" behindDoc="0" locked="0" layoutInCell="1" allowOverlap="1">
                      <wp:simplePos x="0" y="0"/>
                      <wp:positionH relativeFrom="character">
                        <wp:align>left</wp:align>
                      </wp:positionH>
                      <wp:positionV relativeFrom="line">
                        <wp:posOffset>635</wp:posOffset>
                      </wp:positionV>
                      <wp:extent cx="231140" cy="175260"/>
                      <wp:effectExtent l="0" t="0" r="0" b="0"/>
                      <wp:wrapNone/>
                      <wp:docPr id="27" name="Frame26"/>
                      <a:graphic xmlns:a="http://schemas.openxmlformats.org/drawingml/2006/main">
                        <a:graphicData uri="http://schemas.microsoft.com/office/word/2010/wordprocessingShape">
                          <wps:wsp>
                            <wps:cNvSpPr txBox="1"/>
                            <wps:spPr>
                              <a:xfrm>
                                <a:off x="0" y="0"/>
                                <a:ext cx="23114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8.2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642"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8" behindDoc="0" locked="0" layoutInCell="1" allowOverlap="1">
                      <wp:simplePos x="0" y="0"/>
                      <wp:positionH relativeFrom="character">
                        <wp:align>left</wp:align>
                      </wp:positionH>
                      <wp:positionV relativeFrom="line">
                        <wp:posOffset>635</wp:posOffset>
                      </wp:positionV>
                      <wp:extent cx="407670" cy="175260"/>
                      <wp:effectExtent l="0" t="0" r="0" b="0"/>
                      <wp:wrapNone/>
                      <wp:docPr id="28" name="Frame27"/>
                      <a:graphic xmlns:a="http://schemas.openxmlformats.org/drawingml/2006/main">
                        <a:graphicData uri="http://schemas.microsoft.com/office/word/2010/wordprocessingShape">
                          <wps:wsp>
                            <wps:cNvSpPr txBox="1"/>
                            <wps:spPr>
                              <a:xfrm>
                                <a:off x="0" y="0"/>
                                <a:ext cx="407670"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32.1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c>
          <w:tcPr>
            <w:tcW w:w="313"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29" behindDoc="0" locked="0" layoutInCell="1" allowOverlap="1">
                      <wp:simplePos x="0" y="0"/>
                      <wp:positionH relativeFrom="character">
                        <wp:align>left</wp:align>
                      </wp:positionH>
                      <wp:positionV relativeFrom="line">
                        <wp:posOffset>635</wp:posOffset>
                      </wp:positionV>
                      <wp:extent cx="198755" cy="175260"/>
                      <wp:effectExtent l="0" t="0" r="0" b="0"/>
                      <wp:wrapNone/>
                      <wp:docPr id="29" name="Frame28"/>
                      <a:graphic xmlns:a="http://schemas.openxmlformats.org/drawingml/2006/main">
                        <a:graphicData uri="http://schemas.microsoft.com/office/word/2010/wordprocessingShape">
                          <wps:wsp>
                            <wps:cNvSpPr txBox="1"/>
                            <wps:spPr>
                              <a:xfrm>
                                <a:off x="0" y="0"/>
                                <a:ext cx="19875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5.6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r>
      <w:tr>
        <w:trPr/>
        <w:tc>
          <w:tcPr>
            <w:tcW w:w="5214"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4666" w:type="dxa"/>
            <w:gridSpan w:val="9"/>
            <w:tcBorders>
              <w:bottom w:val="single" w:color="000000" w:sz="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At or For The Year Ended June 30,</w:t>
            </w:r>
          </w:p>
        </w:tc>
        <w:tc>
          <w:tcPr>
            <w:tcW w:w="313" w:type="dxa"/>
            <w:tcBorders>
              <w:bottom w:val="single" w:color="000000" w:sz="2" w:space="0"/>
            </w:tcBorders>
            <w:tcMar>
              <w:bottom w:w="28" w:type="dxa"/>
            </w:tcMar>
            <w:vAlign w:val="center"/>
          </w:tcPr>
          <w:p>
            <w:pPr>
              <w:pStyle w:val="TableContents"/>
              <w:bidi w:val="0"/>
              <w:spacing w:before="0" w:after="0"/>
              <w:ind w:left="0" w:right="0" w:hanging="0"/>
              <w:jc w:val="left"/>
              <w:rPr/>
            </w:pPr>
            <w:r>
              <w:rPr/>
              <w:t>​</w:t>
            </w:r>
          </w:p>
        </w:tc>
      </w:tr>
      <w:tr>
        <w:trPr/>
        <w:tc>
          <w:tcPr>
            <w:tcW w:w="521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2026</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2025</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2024</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2023</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  ​ ​ ​</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2022</w:t>
            </w:r>
          </w:p>
        </w:tc>
        <w:tc>
          <w:tcPr>
            <w:tcW w:w="313"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KEY OPERATING RATIOS:</w:t>
            </w:r>
          </w:p>
        </w:tc>
        <w:tc>
          <w:tcPr>
            <w:tcW w:w="346" w:type="dxa"/>
            <w:tcBorders/>
            <w:shd w:val="clear" w:fill="CCEEFF"/>
            <w:vAlign w:val="center"/>
          </w:tcPr>
          <w:p>
            <w:pPr>
              <w:pStyle w:val="TableContents"/>
              <w:bidi w:val="0"/>
              <w:spacing w:before="0" w:after="0"/>
              <w:ind w:left="0" w:right="0" w:hanging="0"/>
              <w:jc w:val="left"/>
              <w:rPr/>
            </w:pPr>
            <w:r>
              <w:rPr/>
              <w:t>  ​ ​ ​</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left"/>
              <w:rPr/>
            </w:pPr>
            <w:r>
              <w:rPr/>
              <w:t>​</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Performance Ratios</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Return on average assets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0.55</w:t>
            </w:r>
          </w:p>
        </w:tc>
        <w:tc>
          <w:tcPr>
            <w:tcW w:w="36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0.50</w:t>
            </w:r>
          </w:p>
        </w:tc>
        <w:tc>
          <w:tcPr>
            <w:tcW w:w="36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0.57</w:t>
            </w:r>
          </w:p>
        </w:tc>
        <w:tc>
          <w:tcPr>
            <w:tcW w:w="36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0.68</w:t>
            </w:r>
          </w:p>
        </w:tc>
        <w:tc>
          <w:tcPr>
            <w:tcW w:w="36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0.76</w:t>
            </w:r>
          </w:p>
        </w:tc>
        <w:tc>
          <w:tcPr>
            <w:tcW w:w="31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Return on average stockholders’ equity</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5.17</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4.79</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5.62</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6.58</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7.14</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Interest rate spread</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2.74</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2.62</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2.92</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2.69</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interest margin</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3.09</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2.93</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2.78</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2.99</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2.72</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Average interest-earning assets to average interest-bearing liabilities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110.61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110.38</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110.28</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110.27</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110.67</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Operating expenses as a percentage of average total assets</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2.57</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2.48</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2.22</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2.23</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2.17</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Efficiency ratio</w:t>
            </w:r>
            <w:r>
              <w:rPr>
                <w:rFonts w:ascii="Times New Roman;Times;serif" w:hAnsi="Times New Roman;Times;serif"/>
                <w:sz w:val="15"/>
              </w:rPr>
              <w:t>(1)</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77.32</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78.96</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73.44</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68.85</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71.37</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Stockholders’ equity to total assets ratio</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10.45</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10.32</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10.21</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9.73</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10.84</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Dividend payout ratio</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54.37</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60.22</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52.83</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47.06</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45.88</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The Bank's Regulatory Capital Ratios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Tier 1 leverage capital (to adjusted average assets)</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10.30</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10.11</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10.02</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9.59</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10.47</w:t>
            </w:r>
          </w:p>
        </w:tc>
        <w:tc>
          <w:tcPr>
            <w:tcW w:w="313"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CET1 capital (to risk-weighted assets)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19.41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19.50</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19.29</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18.50</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19.58</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Tier 1 capital (to risk-weighted assets)</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19.41</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19.50</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19.29</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18.50</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19.58</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Total capital (to risk-weighted assets)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20.34</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20.51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20.38</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19.38</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20.47</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bidi w:val="0"/>
              <w:spacing w:before="0" w:after="0"/>
              <w:ind w:left="0" w:right="0" w:hanging="0"/>
              <w:jc w:val="left"/>
              <w:rPr/>
            </w:pPr>
            <w:r>
              <w:rPr/>
              <w:t>​</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left"/>
              <w:rPr/>
            </w:pPr>
            <w:r>
              <w:rPr/>
              <w:t>​</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Asset Quality Ratios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pPr>
            <w:r>
              <w:rPr/>
              <w:t>  ​</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Non-performing loans as a percentage of loans held for investment, net</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0.05</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0.14</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0.25</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0.12</w:t>
            </w:r>
          </w:p>
        </w:tc>
        <w:tc>
          <w:tcPr>
            <w:tcW w:w="364"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0.15</w:t>
            </w:r>
          </w:p>
        </w:tc>
        <w:tc>
          <w:tcPr>
            <w:tcW w:w="313" w:type="dxa"/>
            <w:tcBorders/>
            <w:shd w:val="clear" w:fill="CCEEFF"/>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w:t>
            </w:r>
          </w:p>
        </w:tc>
      </w:tr>
      <w:tr>
        <w:trPr/>
        <w:tc>
          <w:tcPr>
            <w:tcW w:w="5214"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Non-performing assets as a percentage of total assets</w:t>
            </w:r>
          </w:p>
        </w:tc>
        <w:tc>
          <w:tcPr>
            <w:tcW w:w="346"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0.04</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0.11</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0.20</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0.10</w:t>
            </w:r>
          </w:p>
        </w:tc>
        <w:tc>
          <w:tcPr>
            <w:tcW w:w="364" w:type="dxa"/>
            <w:tcBorders/>
            <w:vAlign w:val="center"/>
          </w:tcPr>
          <w:p>
            <w:pPr>
              <w:pStyle w:val="TableContents"/>
              <w:bidi w:val="0"/>
              <w:spacing w:before="0" w:after="0"/>
              <w:ind w:left="0" w:right="0" w:hanging="0"/>
              <w:jc w:val="left"/>
              <w:rPr/>
            </w:pPr>
            <w:r>
              <w:rPr/>
              <w:t>​</w:t>
            </w:r>
          </w:p>
        </w:tc>
        <w:tc>
          <w:tcPr>
            <w:tcW w:w="642" w:type="dxa"/>
            <w:tcBorders/>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0.12</w:t>
            </w:r>
          </w:p>
        </w:tc>
        <w:tc>
          <w:tcPr>
            <w:tcW w:w="313" w:type="dxa"/>
            <w:tcBorders/>
            <w:vAlign w:val="center"/>
          </w:tcPr>
          <w:p>
            <w:pPr>
              <w:pStyle w:val="TableContents"/>
              <w:bidi w:val="0"/>
              <w:spacing w:before="0" w:after="0"/>
              <w:ind w:left="0" w:right="0" w:hanging="0"/>
              <w:jc w:val="left"/>
              <w:rPr/>
            </w:pPr>
            <w:r>
              <w:rPr/>
              <w:t>​</w:t>
            </w:r>
          </w:p>
        </w:tc>
      </w:tr>
      <w:tr>
        <w:trPr/>
        <w:tc>
          <w:tcPr>
            <w:tcW w:w="5214" w:type="dxa"/>
            <w:tcBorders/>
            <w:shd w:val="clear" w:fill="CCEEFF"/>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Allowance for credit losses as a percentage of gross loans held for investment</w:t>
            </w:r>
          </w:p>
        </w:tc>
        <w:tc>
          <w:tcPr>
            <w:tcW w:w="346"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0.57</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0.62</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0.67</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0.55</w:t>
            </w:r>
          </w:p>
        </w:tc>
        <w:tc>
          <w:tcPr>
            <w:tcW w:w="364" w:type="dxa"/>
            <w:tcBorders/>
            <w:shd w:val="clear" w:fill="CCEEFF"/>
            <w:vAlign w:val="center"/>
          </w:tcPr>
          <w:p>
            <w:pPr>
              <w:pStyle w:val="TableContents"/>
              <w:bidi w:val="0"/>
              <w:spacing w:before="0" w:after="0"/>
              <w:ind w:left="0" w:right="0" w:hanging="0"/>
              <w:jc w:val="left"/>
              <w:rPr/>
            </w:pPr>
            <w:r>
              <w:rPr/>
              <w:t>​</w:t>
            </w:r>
          </w:p>
        </w:tc>
        <w:tc>
          <w:tcPr>
            <w:tcW w:w="642" w:type="dxa"/>
            <w:tcBorders/>
            <w:shd w:val="clear" w:fill="CCEEFF"/>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0.59</w:t>
            </w:r>
          </w:p>
        </w:tc>
        <w:tc>
          <w:tcPr>
            <w:tcW w:w="313" w:type="dxa"/>
            <w:tcBorders/>
            <w:shd w:val="clear" w:fill="CCEEFF"/>
            <w:vAlign w:val="center"/>
          </w:tcPr>
          <w:p>
            <w:pPr>
              <w:pStyle w:val="TableContents"/>
              <w:bidi w:val="0"/>
              <w:spacing w:before="0" w:after="0"/>
              <w:ind w:left="0" w:right="0" w:hanging="0"/>
              <w:jc w:val="left"/>
              <w:rPr/>
            </w:pPr>
            <w:r>
              <w:rPr/>
              <w:t>​</w:t>
            </w:r>
          </w:p>
        </w:tc>
      </w:tr>
      <w:tr>
        <w:trPr/>
        <w:tc>
          <w:tcPr>
            <w:tcW w:w="5214" w:type="dxa"/>
            <w:tcBorders>
              <w:bottom w:val="single" w:color="000000" w:sz="12" w:space="0"/>
            </w:tcBorders>
            <w:tcMar>
              <w:bottom w:w="28" w:type="dxa"/>
            </w:tcMar>
            <w:vAlign w:val="center"/>
          </w:tcPr>
          <w:p>
            <w:pPr>
              <w:pStyle w:val="TableContents"/>
              <w:pBdr/>
              <w:bidi w:val="0"/>
              <w:spacing w:before="0" w:after="0"/>
              <w:ind w:left="0" w:right="0" w:hanging="0"/>
              <w:jc w:val="left"/>
              <w:rPr>
                <w:rFonts w:ascii="Times New Roman;Times;serif" w:hAnsi="Times New Roman;Times;serif"/>
                <w:sz w:val="20"/>
              </w:rPr>
            </w:pPr>
            <w:r>
              <w:rPr>
                <w:rFonts w:ascii="Times New Roman;Times;serif" w:hAnsi="Times New Roman;Times;serif"/>
                <w:sz w:val="20"/>
              </w:rPr>
              <w:t>Net (recoveries) charge-offs to average loans receivable, net</w:t>
            </w:r>
          </w:p>
        </w:tc>
        <w:tc>
          <w:tcPr>
            <w:tcW w:w="346"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pPr>
            <w:r>
              <w:rPr/>
              <w:t>—</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pPr>
            <w:r>
              <w:rPr/>
              <w:t>—</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pPr>
            <w:r>
              <w:rPr/>
              <w:t>—</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pPr>
            <w:r>
              <w:rPr/>
              <w:t>—</w:t>
            </w:r>
          </w:p>
        </w:tc>
        <w:tc>
          <w:tcPr>
            <w:tcW w:w="364"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c>
          <w:tcPr>
            <w:tcW w:w="642" w:type="dxa"/>
            <w:tcBorders>
              <w:bottom w:val="single" w:color="000000" w:sz="12" w:space="0"/>
            </w:tcBorders>
            <w:tcMar>
              <w:bottom w:w="28" w:type="dxa"/>
            </w:tcMar>
            <w:vAlign w:val="center"/>
          </w:tcPr>
          <w:p>
            <w:pPr>
              <w:pStyle w:val="TableContents"/>
              <w:bidi w:val="0"/>
              <w:spacing w:before="0" w:after="0"/>
              <w:ind w:left="0" w:right="0" w:hanging="0"/>
              <w:jc w:val="right"/>
              <w:rPr>
                <w:rFonts w:ascii="Times New Roman;Times;serif" w:hAnsi="Times New Roman;Times;serif"/>
                <w:sz w:val="20"/>
              </w:rPr>
            </w:pPr>
            <w:r>
              <w:rPr>
                <w:rFonts w:ascii="Times New Roman;Times;serif" w:hAnsi="Times New Roman;Times;serif"/>
                <w:sz w:val="20"/>
              </w:rPr>
              <w:t>(0.05)</w:t>
            </w:r>
          </w:p>
        </w:tc>
        <w:tc>
          <w:tcPr>
            <w:tcW w:w="313" w:type="dxa"/>
            <w:tcBorders>
              <w:bottom w:val="single" w:color="000000" w:sz="12" w:space="0"/>
            </w:tcBorders>
            <w:tcMar>
              <w:bottom w:w="28" w:type="dxa"/>
            </w:tcMar>
            <w:vAlign w:val="center"/>
          </w:tcPr>
          <w:p>
            <w:pPr>
              <w:pStyle w:val="TableContents"/>
              <w:bidi w:val="0"/>
              <w:spacing w:before="0" w:after="0"/>
              <w:ind w:left="0" w:right="0" w:hanging="0"/>
              <w:jc w:val="left"/>
              <w:rPr/>
            </w:pPr>
            <w:r>
              <w:rPr/>
              <w:t>​</w:t>
            </w:r>
          </w:p>
        </w:tc>
      </w:tr>
    </w:tbl>
    <w:p>
      <w:pPr>
        <w:pStyle w:val="BodyText"/>
        <w:bidi w:val="0"/>
        <w:spacing w:before="0" w:after="0"/>
        <w:ind w:left="0" w:right="0" w:hanging="0"/>
        <w:jc w:val="left"/>
        <w:rPr/>
      </w:pPr>
      <w:r>
        <w:rPr/>
        <w:t>​</w:t>
      </w:r>
    </w:p>
    <w:tbl>
      <w:tblPr>
        <w:tblW w:w="6695" w:type="dxa"/>
        <w:jc w:val="left"/>
        <w:tblInd w:w="0" w:type="dxa"/>
        <w:tblLayout w:type="fixed"/>
        <w:tblCellMar>
          <w:top w:w="0" w:type="dxa"/>
          <w:left w:w="0" w:type="dxa"/>
          <w:bottom w:w="0" w:type="dxa"/>
          <w:right w:w="0" w:type="dxa"/>
        </w:tblCellMar>
      </w:tblPr>
      <w:tblGrid>
        <w:gridCol w:w="193"/>
        <w:gridCol w:w="6502"/>
      </w:tblGrid>
      <w:tr>
        <w:trPr/>
        <w:tc>
          <w:tcPr>
            <w:tcW w:w="193" w:type="dxa"/>
            <w:tcBorders/>
            <w:vAlign w:val="center"/>
          </w:tcPr>
          <w:p>
            <w:pPr>
              <w:pStyle w:val="TableContents"/>
              <w:bidi w:val="0"/>
              <w:ind w:left="0" w:right="0" w:hanging="0"/>
              <w:jc w:val="left"/>
              <w:rPr>
                <w:rFonts w:ascii="Times New Roman;Times;serif" w:hAnsi="Times New Roman;Times;serif"/>
                <w:sz w:val="15"/>
              </w:rPr>
            </w:pPr>
            <w:r>
              <w:rPr>
                <w:rFonts w:ascii="Times New Roman;Times;serif" w:hAnsi="Times New Roman;Times;serif"/>
                <w:sz w:val="15"/>
              </w:rPr>
              <w:t>(1)</w:t>
            </w:r>
          </w:p>
        </w:tc>
        <w:tc>
          <w:tcPr>
            <w:tcW w:w="6502" w:type="dxa"/>
            <w:tcBorders/>
            <w:vAlign w:val="center"/>
          </w:tcPr>
          <w:p>
            <w:pPr>
              <w:pStyle w:val="TableContents"/>
              <w:bidi w:val="0"/>
              <w:ind w:left="0" w:right="0" w:hanging="0"/>
              <w:jc w:val="left"/>
              <w:rPr>
                <w:rFonts w:ascii="Times New Roman;Times;serif" w:hAnsi="Times New Roman;Times;serif"/>
                <w:b w:val="false"/>
                <w:i w:val="false"/>
                <w:caps w:val="false"/>
                <w:smallCaps w:val="false"/>
                <w:sz w:val="20"/>
              </w:rPr>
            </w:pPr>
            <w:r>
              <w:rPr>
                <w:rFonts w:ascii="Times New Roman;Times;serif" w:hAnsi="Times New Roman;Times;serif"/>
                <w:b w:val="false"/>
                <w:i w:val="false"/>
                <w:caps w:val="false"/>
                <w:smallCaps w:val="false"/>
                <w:sz w:val="20"/>
              </w:rPr>
              <w:t>Operating expenses as a percentage of net interest income and non-interest income.</w:t>
            </w:r>
          </w:p>
        </w:tc>
      </w:tr>
    </w:tbl>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Shareholder Information</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ANNUAL MEETING</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The annual meeting of shareholders will be held virtually by means of remote communication on Thursday, November 19, 2026 at 11:00 a.m. (Pacific). A formal notice of the meeting, together with a proxy statement and proxy form, will be mailed to shareholders.</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CORPORATE OFFICE</w:t>
      </w:r>
    </w:p>
    <w:p>
      <w:pPr>
        <w:pStyle w:val="BodyText"/>
        <w:bidi w:val="0"/>
        <w:spacing w:before="0" w:after="0"/>
        <w:ind w:left="0" w:right="0" w:hanging="0"/>
        <w:jc w:val="both"/>
        <w:rPr>
          <w:rFonts w:ascii="Times New Roman;Times;serif" w:hAnsi="Times New Roman;Times;serif"/>
          <w:sz w:val="20"/>
        </w:rPr>
      </w:pPr>
      <w:r>
        <w:rPr>
          <w:rFonts w:ascii="Times New Roman;Times;serif" w:hAnsi="Times New Roman;Times;serif"/>
          <w:sz w:val="20"/>
        </w:rPr>
        <w:t>Provident Financial Holdings, Inc.</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3756 Central Avenue</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92506</w:t>
      </w:r>
    </w:p>
    <w:p>
      <w:pPr>
        <w:pStyle w:val="BodyText"/>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(951) 686-6060</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INTERNET ADDRESS</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www.myprovident.com</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SPECIAL COUNSEL</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Breyer &amp; Associates PC</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8180 Greensboro Drive, Suite 785</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McLean, VA 22102</w:t>
      </w:r>
    </w:p>
    <w:p>
      <w:pPr>
        <w:pStyle w:val="BodyText"/>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(703) 883-1100</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INDEPENDENT REGISTERED PUBLIC ACCOUNTING FIRM</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Deloitte &amp; Touche LLP</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695 Town Center Drive, Suite 1000</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Costa Mesa, CA 92626-7188</w:t>
      </w:r>
    </w:p>
    <w:p>
      <w:pPr>
        <w:pStyle w:val="BodyText"/>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(714) 436-7100</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TRANSFER AGENT</w:t>
      </w:r>
    </w:p>
    <w:tbl>
      <w:tblPr>
        <w:tblW w:w="4098" w:type="dxa"/>
        <w:jc w:val="left"/>
        <w:tblInd w:w="0" w:type="dxa"/>
        <w:tblLayout w:type="fixed"/>
        <w:tblCellMar>
          <w:top w:w="0" w:type="dxa"/>
          <w:left w:w="0" w:type="dxa"/>
          <w:bottom w:w="0" w:type="dxa"/>
          <w:right w:w="0" w:type="dxa"/>
        </w:tblCellMar>
      </w:tblPr>
      <w:tblGrid>
        <w:gridCol w:w="3878"/>
        <w:gridCol w:w="220"/>
      </w:tblGrid>
      <w:tr>
        <w:trPr/>
        <w:tc>
          <w:tcPr>
            <w:tcW w:w="4098" w:type="dxa"/>
            <w:gridSpan w:val="2"/>
            <w:tcBorders/>
            <w:vAlign w:val="center"/>
          </w:tcPr>
          <w:p>
            <w:pPr>
              <w:pStyle w:val="TableContents"/>
              <w:bidi w:val="0"/>
              <w:ind w:left="0" w:right="0" w:hanging="0"/>
              <w:jc w:val="left"/>
              <w:rPr>
                <w:sz w:val="4"/>
                <w:szCs w:val="4"/>
              </w:rPr>
            </w:pPr>
            <w:r>
              <w:rPr>
                <w:sz w:val="4"/>
                <w:szCs w:val="4"/>
              </w:rPr>
            </w:r>
          </w:p>
        </w:tc>
      </w:tr>
      <w:tr>
        <w:trPr/>
        <w:tc>
          <w:tcPr>
            <w:tcW w:w="4098" w:type="dxa"/>
            <w:gridSpan w:val="2"/>
            <w:tcBorders/>
            <w:vAlign w:val="center"/>
          </w:tcPr>
          <w:p>
            <w:pPr>
              <w:pStyle w:val="TableContents"/>
              <w:bidi w:val="0"/>
              <w:spacing w:before="0" w:after="0"/>
              <w:ind w:left="0" w:right="0" w:hanging="0"/>
              <w:jc w:val="left"/>
              <w:rPr>
                <w:rFonts w:ascii="Times New Roman;Times;serif" w:hAnsi="Times New Roman;Times;serif"/>
                <w:b/>
                <w:i/>
                <w:sz w:val="20"/>
              </w:rPr>
            </w:pPr>
            <w:r>
              <w:rPr>
                <w:rFonts w:ascii="Times New Roman;Times;serif" w:hAnsi="Times New Roman;Times;serif"/>
                <w:b/>
                <w:i/>
                <w:sz w:val="20"/>
              </w:rPr>
              <w:t>First Class/Registered/Certified Mail:</w:t>
            </w:r>
          </w:p>
        </w:tc>
      </w:tr>
      <w:tr>
        <w:trPr/>
        <w:tc>
          <w:tcPr>
            <w:tcW w:w="4098" w:type="dxa"/>
            <w:gridSpan w:val="2"/>
            <w:tcBorders/>
            <w:vAlign w:val="center"/>
          </w:tcPr>
          <w:p>
            <w:pPr>
              <w:pStyle w:val="TableContents"/>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 xml:space="preserve">Computershare Investor Services </w:t>
              <w:br/>
              <w:t xml:space="preserve">P.O. Box 43006 </w:t>
              <w:br/>
              <w:t>Providence, RI 02940-3006                                     </w:t>
            </w:r>
          </w:p>
        </w:tc>
      </w:tr>
      <w:tr>
        <w:trPr/>
        <w:tc>
          <w:tcPr>
            <w:tcW w:w="3878" w:type="dxa"/>
            <w:tcBorders/>
            <w:vAlign w:val="center"/>
          </w:tcPr>
          <w:p>
            <w:pPr>
              <w:pStyle w:val="TableContents"/>
              <w:bidi w:val="0"/>
              <w:ind w:left="0" w:right="0" w:hanging="0"/>
              <w:jc w:val="left"/>
              <w:rPr>
                <w:sz w:val="4"/>
                <w:szCs w:val="4"/>
              </w:rPr>
            </w:pPr>
            <w:r>
              <w:rPr>
                <w:sz w:val="4"/>
                <w:szCs w:val="4"/>
              </w:rPr>
            </w:r>
          </w:p>
        </w:tc>
        <w:tc>
          <w:tcPr>
            <w:tcW w:w="220" w:type="dxa"/>
            <w:tcBorders/>
            <w:vAlign w:val="center"/>
          </w:tcPr>
          <w:p>
            <w:pPr>
              <w:pStyle w:val="TableContents"/>
              <w:bidi w:val="0"/>
              <w:ind w:left="0" w:right="0" w:hanging="0"/>
              <w:jc w:val="left"/>
              <w:rPr>
                <w:sz w:val="4"/>
                <w:szCs w:val="4"/>
              </w:rPr>
            </w:pPr>
            <w:r>
              <w:rPr>
                <w:sz w:val="4"/>
                <w:szCs w:val="4"/>
              </w:rPr>
            </w:r>
          </w:p>
        </w:tc>
      </w:tr>
      <w:tr>
        <w:trPr/>
        <w:tc>
          <w:tcPr>
            <w:tcW w:w="3878" w:type="dxa"/>
            <w:tcBorders/>
            <w:vAlign w:val="center"/>
          </w:tcPr>
          <w:p>
            <w:pPr>
              <w:pStyle w:val="TableContents"/>
              <w:bidi w:val="0"/>
              <w:spacing w:before="0" w:after="0"/>
              <w:ind w:left="0" w:right="0" w:hanging="0"/>
              <w:jc w:val="left"/>
              <w:rPr>
                <w:rFonts w:ascii="Times New Roman;Times;serif" w:hAnsi="Times New Roman;Times;serif"/>
                <w:b/>
                <w:i/>
                <w:sz w:val="20"/>
              </w:rPr>
            </w:pPr>
            <w:r>
              <w:rPr>
                <w:rFonts w:ascii="Times New Roman;Times;serif" w:hAnsi="Times New Roman;Times;serif"/>
                <w:b/>
                <w:i/>
                <w:sz w:val="20"/>
              </w:rPr>
              <w:t>Courier Services/Overnight:</w:t>
            </w:r>
          </w:p>
        </w:tc>
        <w:tc>
          <w:tcPr>
            <w:tcW w:w="220" w:type="dxa"/>
            <w:tcBorders/>
            <w:vAlign w:val="center"/>
          </w:tcPr>
          <w:p>
            <w:pPr>
              <w:pStyle w:val="TableContents"/>
              <w:bidi w:val="0"/>
              <w:ind w:left="0" w:right="0" w:hanging="0"/>
              <w:jc w:val="left"/>
              <w:rPr>
                <w:sz w:val="4"/>
                <w:szCs w:val="4"/>
              </w:rPr>
            </w:pPr>
            <w:r>
              <w:rPr>
                <w:sz w:val="4"/>
                <w:szCs w:val="4"/>
              </w:rPr>
            </w:r>
          </w:p>
        </w:tc>
      </w:tr>
      <w:tr>
        <w:trPr/>
        <w:tc>
          <w:tcPr>
            <w:tcW w:w="3878"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Computershare Investor Services</w:t>
              <w:br/>
              <w:t>150 Royall Street</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Canton, MA 02021</w:t>
            </w:r>
          </w:p>
        </w:tc>
        <w:tc>
          <w:tcPr>
            <w:tcW w:w="220" w:type="dxa"/>
            <w:tcBorders/>
            <w:vAlign w:val="center"/>
          </w:tcPr>
          <w:p>
            <w:pPr>
              <w:pStyle w:val="TableContents"/>
              <w:bidi w:val="0"/>
              <w:jc w:val="left"/>
              <w:rPr>
                <w:sz w:val="4"/>
                <w:szCs w:val="4"/>
              </w:rPr>
            </w:pPr>
            <w:r>
              <w:rPr>
                <w:sz w:val="4"/>
                <w:szCs w:val="4"/>
              </w:rPr>
            </w:r>
          </w:p>
        </w:tc>
      </w:tr>
    </w:tbl>
    <w:p>
      <w:pPr>
        <w:pStyle w:val="BodyText"/>
        <w:bidi w:val="0"/>
        <w:spacing w:before="0" w:after="0"/>
        <w:ind w:left="0" w:right="0" w:hanging="0"/>
        <w:jc w:val="left"/>
        <w:rPr/>
      </w:pPr>
      <w:r>
        <w:rPr/>
        <w:t>​</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MARKET INFORMATION</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Provident Financial Holdings, Inc. is traded on the NASDAQ Global Select Market under the symbol PROV.</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FINANCIAL INFORMATION</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Requests for copies of the Form 10-K and Forms 10-Q filed with the Securities and Exchange Commission should be directed in writing to:</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Peter C. Fan</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 and Chief Financial Officer</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Provident Financial Holdings, Inc.</w:t>
      </w:r>
    </w:p>
    <w:p>
      <w:pPr>
        <w:pStyle w:val="BodyText"/>
        <w:bidi w:val="0"/>
        <w:spacing w:before="0" w:after="0"/>
        <w:ind w:left="0" w:right="0" w:hanging="0"/>
        <w:jc w:val="left"/>
        <w:rPr>
          <w:rFonts w:ascii="Times New Roman;Times;serif" w:hAnsi="Times New Roman;Times;serif"/>
          <w:sz w:val="20"/>
        </w:rPr>
      </w:pPr>
      <w:r>
        <w:rPr>
          <w:rFonts w:ascii="Times New Roman;Times;serif" w:hAnsi="Times New Roman;Times;serif"/>
          <w:sz w:val="20"/>
        </w:rPr>
        <w:t>3756 Central Avenue</w:t>
      </w:r>
    </w:p>
    <w:p>
      <w:pPr>
        <w:pStyle w:val="BodyText"/>
        <w:bidi w:val="0"/>
        <w:spacing w:before="0" w:after="240"/>
        <w:ind w:left="0" w:right="0" w:hanging="0"/>
        <w:jc w:val="left"/>
        <w:rPr>
          <w:rFonts w:ascii="Times New Roman;Times;serif" w:hAnsi="Times New Roman;Times;serif"/>
          <w:sz w:val="20"/>
        </w:rPr>
      </w:pPr>
      <w:r>
        <w:rPr>
          <w:rFonts w:ascii="Times New Roman;Times;serif" w:hAnsi="Times New Roman;Times;serif"/>
          <w:sz w:val="20"/>
        </w:rPr>
        <w:t>Riverside, CA 92506</w:t>
      </w:r>
    </w:p>
    <w:p>
      <w:pPr>
        <w:pStyle w:val="BodyText"/>
        <w:bidi w:val="0"/>
        <w:spacing w:before="0" w:after="240"/>
        <w:ind w:left="0" w:right="0" w:hanging="0"/>
        <w:jc w:val="left"/>
        <w:rPr>
          <w:rFonts w:ascii="Times New Roman;Times;serif" w:hAnsi="Times New Roman;Times;serif"/>
          <w:b/>
          <w:sz w:val="20"/>
        </w:rPr>
      </w:pPr>
      <w:r>
        <w:rPr>
          <w:rFonts w:ascii="Times New Roman;Times;serif" w:hAnsi="Times New Roman;Times;serif"/>
          <w:b/>
          <w:sz w:val="20"/>
        </w:rPr>
        <w:t>CORPORATE PROFILE</w:t>
      </w:r>
    </w:p>
    <w:p>
      <w:pPr>
        <w:pStyle w:val="BodyText"/>
        <w:bidi w:val="0"/>
        <w:spacing w:before="0" w:after="240"/>
        <w:ind w:left="0" w:right="0" w:hanging="0"/>
        <w:jc w:val="both"/>
        <w:rPr>
          <w:rFonts w:ascii="Times New Roman;Times;serif" w:hAnsi="Times New Roman;Times;serif"/>
          <w:sz w:val="20"/>
        </w:rPr>
      </w:pPr>
      <w:r>
        <w:rPr>
          <w:rFonts w:ascii="Times New Roman;Times;serif" w:hAnsi="Times New Roman;Times;serif"/>
          <w:sz w:val="20"/>
        </w:rPr>
        <w:t>Provident Financial Holdings, Inc. (the “Corporation”), a Delaware corporation, was organized in January 1996 for the purpose of becoming the holding company for Provident Savings Bank, F.S.B. (the “Bank”) upon the Bank’s conversion from a federal mutual to a federal stock savings bank (“Conversion”). The Conversion was completed on June 27, 1996. The Corporation does not engage in any significant activity other than holding the stock of the Bank. The Bank serves the banking needs of select communities in Riverside and San Bernardino Counties and has mortgage lending operations in California.</w:t>
      </w:r>
    </w:p>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Board of Directors and Senior Officers</w:t>
      </w:r>
    </w:p>
    <w:tbl>
      <w:tblPr>
        <w:tblW w:w="6562" w:type="dxa"/>
        <w:jc w:val="center"/>
        <w:tblInd w:w="0" w:type="dxa"/>
        <w:tblLayout w:type="fixed"/>
        <w:tblCellMar>
          <w:top w:w="0" w:type="dxa"/>
          <w:left w:w="0" w:type="dxa"/>
          <w:bottom w:w="0" w:type="dxa"/>
          <w:right w:w="0" w:type="dxa"/>
        </w:tblCellMar>
      </w:tblPr>
      <w:tblGrid>
        <w:gridCol w:w="3093"/>
        <w:gridCol w:w="346"/>
        <w:gridCol w:w="3123"/>
      </w:tblGrid>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Board of Directors</w:t>
            </w:r>
          </w:p>
        </w:tc>
        <w:tc>
          <w:tcPr>
            <w:tcW w:w="346" w:type="dxa"/>
            <w:tcBorders/>
            <w:vAlign w:val="center"/>
          </w:tcPr>
          <w:p>
            <w:pPr>
              <w:pStyle w:val="TableContents"/>
              <w:bidi w:val="0"/>
              <w:spacing w:before="0" w:after="0"/>
              <w:ind w:left="0" w:right="0" w:hanging="0"/>
              <w:jc w:val="left"/>
              <w:rPr/>
            </w:pPr>
            <w:r>
              <w:rPr/>
              <w:t>  ​ ​ ​</w:t>
            </w:r>
          </w:p>
        </w:tc>
        <w:tc>
          <w:tcPr>
            <w:tcW w:w="3123"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Senior Officers</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Craig G. Blunden</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Provident Financial Holdings, Inc.</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Chairman of the Board of Directors</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Provident Financial Holdings, Inc.</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Donavon P. Ternes</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Provident Savings Bank, F.S.B.</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President and Chief Executive Officer</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Judy A. Carpenter</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Peter C. Fan</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Retired Healthcare Executive </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Financial Officer</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Debbi H. Guthrie</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Corporate Secretary</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Retired Executive</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Raincross Hospitality Corporation</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Provident Savings Bank, F.S.B.</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Brian N. Hawley</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Donavon P. Ternes</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Executive Officer</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President and Chief Executive Officer</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Luminex Software, Inc.</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Avedis “Avi” Demirdjian </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Kathy M. Michalak</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Former Executive Director</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Information Officer</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Habitat for Humanity Riverside</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Peter C. Fan</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Donavon P. Ternes</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President and Chief Executive Officer</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Financial Officer</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Provident Financial Holdings, Inc.</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Corporate Secretary</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Provident Savings Bank, F.S.B. </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Glee A. Harris</w:t>
            </w:r>
          </w:p>
        </w:tc>
      </w:tr>
      <w:tr>
        <w:trPr/>
        <w:tc>
          <w:tcPr>
            <w:tcW w:w="309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Matthew E. Webb</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President and Chief Executive Officer</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Albert A. Webb Associates</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Senior Vice President </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Human Resources</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Robert “Scott” Ritter</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Single-Family Division</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Michael S. Van Stockum</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Chief Lending Officer</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Gwendolyn L. Wertz</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Senior Vice President</w:t>
            </w:r>
          </w:p>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Retail Banking Division</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r>
        <w:trPr/>
        <w:tc>
          <w:tcPr>
            <w:tcW w:w="3093"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123" w:type="dxa"/>
            <w:tcBorders/>
            <w:vAlign w:val="center"/>
          </w:tcPr>
          <w:p>
            <w:pPr>
              <w:pStyle w:val="TableContents"/>
              <w:bidi w:val="0"/>
              <w:spacing w:before="0" w:after="0"/>
              <w:ind w:left="0" w:right="0" w:hanging="0"/>
              <w:jc w:val="left"/>
              <w:rPr/>
            </w:pPr>
            <w:r>
              <w:rPr/>
              <w:t>​</w:t>
            </w:r>
          </w:p>
        </w:tc>
      </w:tr>
    </w:tbl>
    <w:p>
      <w:pPr>
        <w:pStyle w:val="BodyText"/>
        <w:bidi w:val="0"/>
        <w:spacing w:before="0" w:after="0"/>
        <w:ind w:left="0" w:right="0" w:hanging="0"/>
        <w:jc w:val="left"/>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rFonts w:ascii="Times New Roman;Times;serif" w:hAnsi="Times New Roman;Times;serif"/>
          <w:b/>
          <w:sz w:val="32"/>
        </w:rPr>
      </w:pPr>
      <w:r>
        <w:rPr>
          <w:rFonts w:ascii="Times New Roman;Times;serif" w:hAnsi="Times New Roman;Times;serif"/>
          <w:b/>
          <w:sz w:val="32"/>
        </w:rPr>
        <w:t>Provident Locations</w:t>
      </w:r>
    </w:p>
    <w:tbl>
      <w:tblPr>
        <w:tblW w:w="7667" w:type="dxa"/>
        <w:jc w:val="center"/>
        <w:tblInd w:w="0" w:type="dxa"/>
        <w:tblLayout w:type="fixed"/>
        <w:tblCellMar>
          <w:top w:w="0" w:type="dxa"/>
          <w:left w:w="0" w:type="dxa"/>
          <w:bottom w:w="0" w:type="dxa"/>
          <w:right w:w="0" w:type="dxa"/>
        </w:tblCellMar>
      </w:tblPr>
      <w:tblGrid>
        <w:gridCol w:w="4090"/>
        <w:gridCol w:w="346"/>
        <w:gridCol w:w="3231"/>
      </w:tblGrid>
      <w:tr>
        <w:trPr/>
        <w:tc>
          <w:tcPr>
            <w:tcW w:w="4090"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30" behindDoc="0" locked="0" layoutInCell="1" allowOverlap="1">
                      <wp:simplePos x="0" y="0"/>
                      <wp:positionH relativeFrom="character">
                        <wp:align>left</wp:align>
                      </wp:positionH>
                      <wp:positionV relativeFrom="line">
                        <wp:posOffset>635</wp:posOffset>
                      </wp:positionV>
                      <wp:extent cx="2597150" cy="525780"/>
                      <wp:effectExtent l="0" t="0" r="0" b="0"/>
                      <wp:wrapNone/>
                      <wp:docPr id="30" name="Frame29"/>
                      <a:graphic xmlns:a="http://schemas.openxmlformats.org/drawingml/2006/main">
                        <a:graphicData uri="http://schemas.microsoft.com/office/word/2010/wordprocessingShape">
                          <wps:wsp>
                            <wps:cNvSpPr txBox="1"/>
                            <wps:spPr>
                              <a:xfrm>
                                <a:off x="0" y="0"/>
                                <a:ext cx="2597150" cy="525780"/>
                              </a:xfrm>
                              <a:prstGeom prst="rect"/>
                              <a:solidFill>
                                <a:srgbClr val="FFFFFF"/>
                              </a:solidFill>
                            </wps:spPr>
                            <wps:txbx>
                              <w:txbxContent>
                                <w:p>
                                  <w:pPr>
                                    <w:pStyle w:val="TableContents"/>
                                    <w:bidi w:val="0"/>
                                    <w:spacing w:before="0" w:after="0"/>
                                    <w:ind w:left="0" w:right="0" w:hanging="0"/>
                                    <w:jc w:val="left"/>
                                    <w:rPr/>
                                  </w:pPr>
                                  <w:r>
                                    <w:rPr/>
                                    <w:t>​</w:t>
                                  </w:r>
                                </w:p>
                                <w:p>
                                  <w:pPr>
                                    <w:pStyle w:val="TableContents"/>
                                    <w:bidi w:val="0"/>
                                    <w:spacing w:before="0" w:after="0"/>
                                    <w:ind w:left="0" w:right="0" w:hanging="0"/>
                                    <w:jc w:val="left"/>
                                    <w:rPr/>
                                  </w:pPr>
                                  <w:r>
                                    <w:rPr/>
                                    <w:t>​</w:t>
                                  </w:r>
                                </w:p>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204.5pt;height:41.4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p>
                            <w:pPr>
                              <w:pStyle w:val="TableContents"/>
                              <w:bidi w:val="0"/>
                              <w:spacing w:before="0" w:after="0"/>
                              <w:ind w:left="0" w:right="0" w:hanging="0"/>
                              <w:jc w:val="left"/>
                              <w:rPr/>
                            </w:pPr>
                            <w:r>
                              <w:rPr/>
                              <w:t>​</w:t>
                            </w:r>
                          </w:p>
                          <w:p>
                            <w:pPr>
                              <w:pStyle w:val="TableContents"/>
                              <w:bidi w:val="0"/>
                              <w:spacing w:before="0" w:after="0"/>
                              <w:ind w:left="0" w:right="0" w:hanging="0"/>
                              <w:jc w:val="left"/>
                              <w:rPr/>
                            </w:pPr>
                            <w:r>
                              <w:rPr/>
                              <w:t>​</w:t>
                            </w:r>
                          </w:p>
                        </w:txbxContent>
                      </v:textbox>
                      <w10:wrap type="none"/>
                    </v:rect>
                  </w:pict>
                </mc:Fallback>
              </mc:AlternateConten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ind w:left="0" w:right="0" w:hanging="0"/>
              <w:jc w:val="left"/>
              <w:rPr>
                <w:sz w:val="4"/>
                <w:szCs w:val="4"/>
              </w:rPr>
            </w:pPr>
            <w:r>
              <w:rPr>
                <w:sz w:val="4"/>
                <w:szCs w:val="4"/>
              </w:rPr>
            </w:r>
            <w:r>
              <mc:AlternateContent>
                <mc:Choice Requires="wps">
                  <w:drawing>
                    <wp:anchor distT="0" distB="0" distL="0" distR="0" simplePos="0" relativeHeight="31" behindDoc="0" locked="0" layoutInCell="1" allowOverlap="1">
                      <wp:simplePos x="0" y="0"/>
                      <wp:positionH relativeFrom="character">
                        <wp:align>left</wp:align>
                      </wp:positionH>
                      <wp:positionV relativeFrom="line">
                        <wp:posOffset>635</wp:posOffset>
                      </wp:positionV>
                      <wp:extent cx="2051685" cy="175260"/>
                      <wp:effectExtent l="0" t="0" r="0" b="0"/>
                      <wp:wrapNone/>
                      <wp:docPr id="31" name="Frame30"/>
                      <a:graphic xmlns:a="http://schemas.openxmlformats.org/drawingml/2006/main">
                        <a:graphicData uri="http://schemas.microsoft.com/office/word/2010/wordprocessingShape">
                          <wps:wsp>
                            <wps:cNvSpPr txBox="1"/>
                            <wps:spPr>
                              <a:xfrm>
                                <a:off x="0" y="0"/>
                                <a:ext cx="2051685" cy="175260"/>
                              </a:xfrm>
                              <a:prstGeom prst="rect"/>
                              <a:solidFill>
                                <a:srgbClr val="FFFFFF"/>
                              </a:solidFill>
                            </wps:spPr>
                            <wps:txbx>
                              <w:txbxContent>
                                <w:p>
                                  <w:pPr>
                                    <w:pStyle w:val="TableContents"/>
                                    <w:bidi w:val="0"/>
                                    <w:spacing w:before="0" w:after="0"/>
                                    <w:ind w:left="0" w:right="0" w:hanging="0"/>
                                    <w:jc w:val="left"/>
                                    <w:rPr/>
                                  </w:pPr>
                                  <w:r>
                                    <w:rPr/>
                                    <w:t>​</w:t>
                                  </w:r>
                                </w:p>
                              </w:txbxContent>
                            </wps:txbx>
                            <wps:bodyPr lIns="0" tIns="0" rIns="0" bIns="0" anchor="t">
                              <a:noAutofit/>
                            </wps:bodyPr>
                          </wps:wsp>
                        </a:graphicData>
                      </a:graphic>
                      <wp14:sizeRelH relativeFrom="margin">
                        <wp14:pctWidth>100000</wp14:pctWidth>
                      </wp14:sizeRelH>
                    </wp:anchor>
                  </w:drawing>
                </mc:Choice>
                <mc:Fallback>
                  <w:pict>
                    <v:rect style="position:absolute;rotation:-0;width:161.55pt;height:13.8pt;mso-wrap-distance-left:0pt;mso-wrap-distance-right:0pt;mso-wrap-distance-top:0pt;mso-wrap-distance-bottom:0pt;margin-top:0pt;mso-position-vertical:top;mso-position-vertical-relative:text;margin-left:0pt;mso-position-horizontal:left;mso-position-horizontal-relative:text">
                      <v:textbox>
                        <w:txbxContent>
                          <w:p>
                            <w:pPr>
                              <w:pStyle w:val="TableContents"/>
                              <w:bidi w:val="0"/>
                              <w:spacing w:before="0" w:after="0"/>
                              <w:ind w:left="0" w:right="0" w:hanging="0"/>
                              <w:jc w:val="left"/>
                              <w:rPr/>
                            </w:pPr>
                            <w:r>
                              <w:rPr/>
                              <w:t>​</w:t>
                            </w:r>
                          </w:p>
                        </w:txbxContent>
                      </v:textbox>
                      <w10:wrap type="none"/>
                    </v:rect>
                  </w:pict>
                </mc:Fallback>
              </mc:AlternateContent>
            </w:r>
          </w:p>
        </w:tc>
      </w:tr>
      <w:tr>
        <w:trPr/>
        <w:tc>
          <w:tcPr>
            <w:tcW w:w="4090" w:type="dxa"/>
            <w:tcBorders/>
            <w:vAlign w:val="center"/>
          </w:tcPr>
          <w:p>
            <w:pPr>
              <w:pStyle w:val="TableContents"/>
              <w:bidi w:val="0"/>
              <w:spacing w:before="0" w:after="0"/>
              <w:ind w:left="0" w:right="0" w:hanging="0"/>
              <w:jc w:val="left"/>
              <w:rPr/>
            </w:pPr>
            <w:r>
              <w:rPr/>
              <w:drawing>
                <wp:inline distT="0" distB="0" distL="0" distR="0">
                  <wp:extent cx="2533015" cy="790575"/>
                  <wp:effectExtent l="0" t="0" r="0" b="0"/>
                  <wp:docPr id="32" name="Image2"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 descr="Graphic"/>
                          <pic:cNvPicPr>
                            <a:picLocks noChangeAspect="1" noChangeArrowheads="1"/>
                          </pic:cNvPicPr>
                        </pic:nvPicPr>
                        <pic:blipFill>
                          <a:blip r:embed="rId3"/>
                          <a:stretch>
                            <a:fillRect/>
                          </a:stretch>
                        </pic:blipFill>
                        <pic:spPr bwMode="auto">
                          <a:xfrm>
                            <a:off x="0" y="0"/>
                            <a:ext cx="2533015" cy="790575"/>
                          </a:xfrm>
                          <a:prstGeom prst="rect">
                            <a:avLst/>
                          </a:prstGeom>
                          <a:noFill/>
                        </pic:spPr>
                      </pic:pic>
                    </a:graphicData>
                  </a:graphic>
                </wp:inline>
              </w:drawing>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  ​ ​ ​</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RETAIL BANKING CENTERS</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Blythe</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Moreno Valley</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350 E. Hobson Way</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12460 Heacock Street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Blythe, CA 92225</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Moreno Valley, CA 92553</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(760) 922-6105</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242-3149</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Canyon Crest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Orangecrest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5225 Canyon Crest Drive, Suite 30</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19348 Van Buren Boulevard, Suite 119</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92507</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92508</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781-8080</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780-7170</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Corona</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Rancho Mirage</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487 Magnolia Avenue, Suite 101</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71991 Highway 111</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Corona, CA 92879</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Ranch Mirage, CA 92270</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(951) 270-2926 </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(760) 340-5644</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Downtown Business Center</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Redlands</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4001 Main Street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125 E. Citrus Avenue</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92501</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Redlands, CA 92373</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682-3272</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(909) 793-2992</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Hemet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Sun City</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1690 E. Florida Avenue</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27010 Sun City Boulevard</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Hemet, CA 92544</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Sun City, CA 92586</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658-7224</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679-2301</w:t>
            </w:r>
          </w:p>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Home Office</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Temecula</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6570 Magnolia Avenue</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40705 Winchester Road, Suite 6</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92506</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Temecula, CA 92591</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 xml:space="preserve">(951) 782-6177 </w:t>
            </w:r>
          </w:p>
          <w:p>
            <w:pPr>
              <w:pStyle w:val="TableContents"/>
              <w:bidi w:val="0"/>
              <w:spacing w:before="0" w:after="0"/>
              <w:ind w:left="0" w:right="0" w:hanging="0"/>
              <w:jc w:val="left"/>
              <w:rPr/>
            </w:pPr>
            <w:r>
              <w:rPr/>
              <w:t>​</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296-2429</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b/>
                <w:sz w:val="20"/>
              </w:rPr>
            </w:pPr>
            <w:r>
              <w:rPr>
                <w:rFonts w:ascii="Times New Roman;Times;serif" w:hAnsi="Times New Roman;Times;serif"/>
                <w:b/>
                <w:sz w:val="20"/>
              </w:rPr>
              <w:t>La Sierra</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3312 La Sierra Avenue, Suite 105</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Riverside, CA 92503</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r>
        <w:trPr/>
        <w:tc>
          <w:tcPr>
            <w:tcW w:w="4090" w:type="dxa"/>
            <w:tcBorders/>
            <w:vAlign w:val="center"/>
          </w:tcPr>
          <w:p>
            <w:pPr>
              <w:pStyle w:val="TableContents"/>
              <w:bidi w:val="0"/>
              <w:spacing w:before="0" w:after="0"/>
              <w:ind w:left="0" w:right="0" w:hanging="0"/>
              <w:jc w:val="left"/>
              <w:rPr>
                <w:rFonts w:ascii="Times New Roman;Times;serif" w:hAnsi="Times New Roman;Times;serif"/>
                <w:sz w:val="20"/>
              </w:rPr>
            </w:pPr>
            <w:r>
              <w:rPr>
                <w:rFonts w:ascii="Times New Roman;Times;serif" w:hAnsi="Times New Roman;Times;serif"/>
                <w:sz w:val="20"/>
              </w:rPr>
              <w:t>(951) 353-9897</w:t>
            </w:r>
          </w:p>
        </w:tc>
        <w:tc>
          <w:tcPr>
            <w:tcW w:w="346" w:type="dxa"/>
            <w:tcBorders/>
            <w:vAlign w:val="center"/>
          </w:tcPr>
          <w:p>
            <w:pPr>
              <w:pStyle w:val="TableContents"/>
              <w:bidi w:val="0"/>
              <w:spacing w:before="0" w:after="0"/>
              <w:ind w:left="0" w:right="0" w:hanging="0"/>
              <w:jc w:val="left"/>
              <w:rPr/>
            </w:pPr>
            <w:r>
              <w:rPr/>
              <w:t>​</w:t>
            </w:r>
          </w:p>
        </w:tc>
        <w:tc>
          <w:tcPr>
            <w:tcW w:w="3231" w:type="dxa"/>
            <w:tcBorders/>
            <w:vAlign w:val="center"/>
          </w:tcPr>
          <w:p>
            <w:pPr>
              <w:pStyle w:val="TableContents"/>
              <w:bidi w:val="0"/>
              <w:spacing w:before="0" w:after="0"/>
              <w:ind w:left="0" w:right="0" w:hanging="0"/>
              <w:jc w:val="left"/>
              <w:rPr/>
            </w:pPr>
            <w:r>
              <w:rPr/>
              <w:t>​</w:t>
            </w:r>
          </w:p>
        </w:tc>
      </w:tr>
    </w:tbl>
    <w:p>
      <w:pPr>
        <w:pStyle w:val="BodyText"/>
        <w:bidi w:val="0"/>
        <w:spacing w:before="0" w:after="0"/>
        <w:ind w:left="0" w:right="0" w:hanging="0"/>
        <w:jc w:val="left"/>
        <w:rPr/>
      </w:pPr>
      <w:r>
        <w:rPr/>
        <w:t>​</w:t>
      </w:r>
    </w:p>
    <w:p>
      <w:pPr>
        <w:pStyle w:val="BodyText"/>
        <w:bidi w:val="0"/>
        <w:spacing w:before="0" w:after="240"/>
        <w:ind w:left="0" w:right="0" w:hanging="0"/>
        <w:jc w:val="both"/>
        <w:rPr/>
      </w:pPr>
      <w:r>
        <w:rPr/>
        <w:t>​</w:t>
      </w:r>
    </w:p>
    <w:p>
      <w:pPr>
        <w:pStyle w:val="BodyText"/>
        <w:bidi w:val="0"/>
        <w:spacing w:before="0" w:after="0"/>
        <w:ind w:left="0" w:right="0" w:hanging="0"/>
        <w:jc w:val="center"/>
        <w:rPr>
          <w:rFonts w:ascii="Times New Roman;Times;serif" w:hAnsi="Times New Roman;Times;serif"/>
          <w:sz w:val="20"/>
        </w:rPr>
      </w:pPr>
      <w:r>
        <w:rPr>
          <w:rFonts w:ascii="Times New Roman;Times;serif" w:hAnsi="Times New Roman;Times;serif"/>
          <w:b/>
          <w:sz w:val="20"/>
        </w:rPr>
        <w:t>Customer Information 1-800-442-5201 or</w:t>
      </w:r>
      <w:r>
        <w:rPr>
          <w:rFonts w:ascii="Times New Roman;Times;serif" w:hAnsi="Times New Roman;Times;serif"/>
          <w:sz w:val="20"/>
        </w:rPr>
        <w:t xml:space="preserve"> www.myprovident.com</w:t>
      </w:r>
    </w:p>
    <w:p>
      <w:pPr>
        <w:pStyle w:val="BodyText"/>
        <w:bidi w:val="0"/>
        <w:spacing w:before="0" w:after="240"/>
        <w:ind w:left="0" w:right="0" w:hanging="0"/>
        <w:jc w:val="both"/>
        <w:rPr/>
      </w:pPr>
      <w:r>
        <w:rPr/>
        <w:t>​</w:t>
      </w:r>
    </w:p>
    <w:p>
      <w:pPr>
        <w:pStyle w:val="BodyText"/>
        <w:bidi w:val="0"/>
        <w:spacing w:before="0" w:after="240"/>
        <w:ind w:left="0" w:right="0" w:hanging="0"/>
        <w:jc w:val="both"/>
        <w:rPr/>
      </w:pPr>
      <w:r>
        <w:rPr/>
        <w:t>​</w:t>
      </w:r>
    </w:p>
    <w:p>
      <w:pPr>
        <w:pStyle w:val="HorizontalLine"/>
        <w:bidi w:val="0"/>
        <w:jc w:val="left"/>
        <w:rPr/>
      </w:pPr>
      <w:r>
        <w:rPr/>
      </w:r>
    </w:p>
    <w:p>
      <w:pPr>
        <w:pStyle w:val="BodyText"/>
        <w:bidi w:val="0"/>
        <w:spacing w:before="0" w:after="0"/>
        <w:ind w:left="0" w:right="0" w:hanging="0"/>
        <w:jc w:val="left"/>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t>​</w:t>
      </w:r>
    </w:p>
    <w:p>
      <w:pPr>
        <w:pStyle w:val="BodyText"/>
        <w:bidi w:val="0"/>
        <w:spacing w:before="0" w:after="240"/>
        <w:ind w:left="0" w:right="0" w:hanging="0"/>
        <w:jc w:val="center"/>
        <w:rPr/>
      </w:pPr>
      <w:r>
        <w:rPr/>
        <w:drawing>
          <wp:inline distT="0" distB="0" distL="0" distR="0">
            <wp:extent cx="2713990" cy="942975"/>
            <wp:effectExtent l="0" t="0" r="0" b="0"/>
            <wp:docPr id="33" name="Image3"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 descr="Graphic"/>
                    <pic:cNvPicPr>
                      <a:picLocks noChangeAspect="1" noChangeArrowheads="1"/>
                    </pic:cNvPicPr>
                  </pic:nvPicPr>
                  <pic:blipFill>
                    <a:blip r:embed="rId4"/>
                    <a:stretch>
                      <a:fillRect/>
                    </a:stretch>
                  </pic:blipFill>
                  <pic:spPr bwMode="auto">
                    <a:xfrm>
                      <a:off x="0" y="0"/>
                      <a:ext cx="2713990" cy="942975"/>
                    </a:xfrm>
                    <a:prstGeom prst="rect">
                      <a:avLst/>
                    </a:prstGeom>
                    <a:noFill/>
                  </pic:spPr>
                </pic:pic>
              </a:graphicData>
            </a:graphic>
          </wp:inline>
        </w:drawing>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Corporate Office</w:t>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3756 Central Avenue, Riverside, CA 92506</w:t>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(951) 686-6060</w:t>
      </w:r>
    </w:p>
    <w:p>
      <w:pPr>
        <w:pStyle w:val="BodyText"/>
        <w:bidi w:val="0"/>
        <w:spacing w:before="0" w:after="240"/>
        <w:ind w:left="0" w:right="0" w:hanging="0"/>
        <w:jc w:val="center"/>
        <w:rPr/>
      </w:pPr>
      <w:r>
        <w:rPr/>
        <w:t>​</w:t>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www.myprovident.com</w:t>
      </w:r>
    </w:p>
    <w:p>
      <w:pPr>
        <w:pStyle w:val="BodyText"/>
        <w:bidi w:val="0"/>
        <w:spacing w:before="0" w:after="240"/>
        <w:ind w:left="0" w:right="0" w:hanging="0"/>
        <w:jc w:val="center"/>
        <w:rPr/>
      </w:pPr>
      <w:r>
        <w:rPr/>
        <w:t>​</w:t>
      </w:r>
    </w:p>
    <w:p>
      <w:pPr>
        <w:pStyle w:val="BodyText"/>
        <w:bidi w:val="0"/>
        <w:spacing w:before="0" w:after="0"/>
        <w:ind w:left="0" w:right="0" w:hanging="0"/>
        <w:jc w:val="center"/>
        <w:rPr>
          <w:rFonts w:ascii="Times New Roman;Times;serif" w:hAnsi="Times New Roman;Times;serif"/>
          <w:b/>
          <w:sz w:val="20"/>
        </w:rPr>
      </w:pPr>
      <w:r>
        <w:rPr>
          <w:rFonts w:ascii="Times New Roman;Times;serif" w:hAnsi="Times New Roman;Times;serif"/>
          <w:b/>
          <w:sz w:val="20"/>
        </w:rPr>
        <w:t>NASDAQ Global Select Market - PROV</w:t>
      </w:r>
    </w:p>
    <w:p>
      <w:pPr>
        <w:pStyle w:val="HorizontalLine"/>
        <w:bidi w:val="0"/>
        <w:spacing w:before="0" w:after="283"/>
        <w:jc w:val="left"/>
        <w:rPr/>
      </w:pPr>
      <w:r>
        <w:t xml:space="preserve"/>
      </w:r>
    </w:p>
    <w:sectPr>
      <w:type w:val="nextPage"/>
      <w:pgSz w:w="12240" w:h="15840"/>
      <w:pgMar w:top="567" w:right="567" w:bottom="567" w:left="1134" w:header="0" w:footer="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altName w:val="Times"/>
    <w:charset w:val="01"/>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prov-20260630xex13001.jpg"/><Relationship Id="rId3" Type="http://schemas.openxmlformats.org/officeDocument/2006/relationships/image" Target="media/prov-20260630xex13002.jpg"/><Relationship Id="rId4" Type="http://schemas.openxmlformats.org/officeDocument/2006/relationships/image" Target="media/prov-20260630xex13003.jp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LibreOffice/26.2.4.2$Linux_X86_64 LibreOffice_project/620$Build-2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