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WSTitle"/>
      </w:pPr>
      <w:r>
        <w:t xml:space="preserve">Compreensão do Oral e da Leitura — Textos A e B (9.º ano)</w:t>
      </w:r>
    </w:p>
    <w:p>
      <w:pPr>
        <w:pStyle w:val="WSIdent"/>
      </w:pPr>
      <w:r>
        <w:t xml:space="preserve">Name: </w:t>
      </w:r>
      <w:r>
        <w:rPr>
          <w:u w:val="single"/>
        </w:rPr>
        <w:tab/>
      </w:r>
      <w:r>
        <w:t xml:space="preserve">Class: </w:t>
      </w:r>
      <w:r>
        <w:rPr>
          <w:u w:val="single"/>
        </w:rPr>
        <w:tab/>
      </w:r>
      <w:r>
        <w:t xml:space="preserve">Date: </w:t>
      </w:r>
      <w:r>
        <w:rPr>
          <w:u w:val="single"/>
        </w:rPr>
        <w:tab/>
      </w:r>
    </w:p>
    <w:p>
      <w:pPr>
        <w:pStyle w:val="WSMeta"/>
      </w:pPr>
      <w:r>
        <w:t xml:space="preserve">4 questions</w:t>
      </w:r>
    </w:p>
    <w:p>
      <w:pPr>
        <w:pStyle w:val="WSStim"/>
      </w:pPr>
      <w:r>
        <w:t xml:space="preserve">Na resposta aos itens de escolha múltipla, seleciona a opção correta. Escreve, na folha de respostas, o número do item e a alínea que selecionaste.</w:t>
      </w:r>
    </w:p>
    <w:p>
      <w:pPr>
        <w:pStyle w:val="WSBand"/>
      </w:pPr>
      <w:r>
        <w:t xml:space="preserve">Question 1</w:t>
      </w:r>
    </w:p>
    <w:p>
      <w:pPr>
        <w:pStyle w:val="WSStim"/>
      </w:pPr>
      <w:r>
        <w:t xml:space="preserve">Oralidade</w:t>
      </w:r>
    </w:p>
    <w:p>
      <w:pPr>
        <w:pStyle w:val="WSStim"/>
      </w:pPr>
      <w:r>
        <w:t xml:space="preserve">Para responderes ao item seguinte, vais ouvir um excerto de uma reportagem sobre um grupo de jovens voluntários de um bairro da cidade de Lisboa.</w:t>
      </w:r>
    </w:p>
    <w:p>
      <w:pPr>
        <w:pStyle w:val="WSStem"/>
      </w:pPr>
      <w:r>
        <w:t xml:space="preserve">Ordena os tópicos de A a D, de acordo com a ordem pela qual as informações são apresentadas no texto.</w:t>
      </w:r>
    </w:p>
    <w:p>
      <w:pPr>
        <w:pStyle w:val="WSStem"/>
      </w:pPr>
      <w:r>
        <w:t xml:space="preserve">A. Identificação do prémio municipal em que o projeto foi distinguido.</w:t>
      </w:r>
    </w:p>
    <w:p>
      <w:pPr>
        <w:pStyle w:val="WSStem"/>
      </w:pPr>
      <w:r>
        <w:t xml:space="preserve">B. Descrição do terreno abandonado onde o jardim comunitário foi criado.</w:t>
      </w:r>
    </w:p>
    <w:p>
      <w:pPr>
        <w:pStyle w:val="WSStem"/>
      </w:pPr>
      <w:r>
        <w:t xml:space="preserve">C. Indicação do número de voluntários que participam no projeto.</w:t>
      </w:r>
    </w:p>
    <w:p>
      <w:pPr>
        <w:pStyle w:val="WSStem"/>
      </w:pPr>
      <w:r>
        <w:t xml:space="preserve">D. Referência à saudade da terra que motivou os jovens a criar o jardim.</w:t>
      </w:r>
    </w:p>
    <w:p>
      <w:pPr>
        <w:pStyle w:val="WSRule"/>
      </w:pPr>
      <w:r>
        <w:rPr>
          <w:u w:val="single" w:color="9AA3B2"/>
        </w:rPr>
        <w:tab/>
      </w:r>
    </w:p>
    <w:p>
      <w:pPr>
        <w:pStyle w:val="WSRule"/>
      </w:pPr>
      <w:r>
        <w:rPr>
          <w:u w:val="single" w:color="9AA3B2"/>
        </w:rPr>
        <w:tab/>
      </w:r>
    </w:p>
    <w:p>
      <w:r>
        <w:br w:type="page"/>
      </w:r>
    </w:p>
    <w:p>
      <w:pPr>
        <w:pStyle w:val="WSBand"/>
      </w:pPr>
      <w:r>
        <w:t xml:space="preserve">Question 2</w:t>
      </w:r>
    </w:p>
    <w:p>
      <w:pPr>
        <w:pStyle w:val="WSStim"/>
      </w:pPr>
      <w:r>
        <w:t xml:space="preserve">Leitura e Educação Literária</w:t>
      </w:r>
    </w:p>
    <w:p>
      <w:pPr>
        <w:pStyle w:val="WSStim"/>
      </w:pPr>
      <w:r>
        <w:t xml:space="preserve">Texto A</w:t>
      </w:r>
    </w:p>
    <w:p>
      <w:pPr>
        <w:pStyle w:val="WSStim"/>
      </w:pPr>
      <w:r>
        <w:t xml:space="preserve">Lê o texto.</w:t>
      </w:r>
    </w:p>
    <w:p>
      <w:pPr>
        <w:pStyle w:val="WSStim"/>
      </w:pPr>
      <w:r>
        <w:t xml:space="preserve">As cidades europeias estão, em média, mais secas do que no século passado. No topo da lista, está Valência. Nesta cidade espanhola, a precipitação média dos últimos 17 anos foi 60 mm inferior à registada no período entre 1900 e 1999. Múrcia e Almeria, também na vizinha Espanha, completam este top. A Grécia, o sul de Itália e o Chipre estão, igualmente, entre as zonas em que menos choveu.</w:t>
      </w:r>
    </w:p>
    <w:p>
      <w:pPr>
        <w:pStyle w:val="WSStim"/>
      </w:pPr>
      <w:r>
        <w:t xml:space="preserve">As cidades portuguesas foram das que menos perderam precipitação, segundo a análise feita aos valores médios registados diariamente em 558 cidades europeias desde 1900. Em Portugal, foi Faro a cidade que mais perdeu chuva nos últimos 17 anos, em relação à média do século passado (menos 45 mm). Bragança foi a cidade que menos perdeu no nosso país (com menos 3 mm). Em território nacional, foram ainda observados os dados de cidades como Évora (com menos 38 mm), Castelo Branco (com menos 35 mm), Lisboa (com menos 30 mm), Vila Nova de Gaia (com menos 25 mm), Funchal (com menos 20 mm) e Ponta Delgada (com menos 15 mm). Das cidades portuguesas em estudo, as mais chuvosas continuam a ser Bragança e Vila Real.</w:t>
      </w:r>
    </w:p>
    <w:p>
      <w:pPr>
        <w:pStyle w:val="WSStim"/>
      </w:pPr>
      <w:r>
        <w:t xml:space="preserve">Marta Nunes, autora do Guia da Água nas Cidades, diz que o facto de as cidades portuguesas estarem no fim da lista «é normal», uma vez que «a precipitação de partida já era baixa e é normal que, nas latitudes mais baixas, desça mais». Aliás, «os sítios onde a chuva mais vai aumentar são a Irlanda e a Escócia, porque são os locais onde o ponto de partida era mais alto». Não é por as cidades portuguesas registarem uma perda de precipitação mais baixa em comparação com as outras cidades da lista que esse caso deixa de ser preocupante, de acordo com Marta Nunes. De facto, «a base de que partimos já é mais vulnerável à seca, pelo que esta redução é muitíssimo significativa».</w:t>
      </w:r>
    </w:p>
    <w:p>
      <w:pPr>
        <w:pStyle w:val="WSStim"/>
      </w:pPr>
      <w:r>
        <w:t xml:space="preserve">Assim como diminuiu a precipitação média, também aumentou o número de dias de seca por ano civil. A tendência na Europa é generalizada, embora haja quatro cidades que a contrariam. Nos restantes 554 locais em análise, esse aumento foi, em média, de mais cinco dias de seca.</w:t>
      </w:r>
    </w:p>
    <w:p>
      <w:pPr>
        <w:pStyle w:val="WSStim"/>
      </w:pPr>
      <w:r>
        <w:t xml:space="preserve">Também o número de dias de seca durante o ano letivo aumentou na maioria das cidades. Em 480 dos 558 locais analisados, registaram-se, em média, mais quatro dias de seca durante os anos letivos entre 2000 e 2017, em comparação com o século passado. Os dias do calendário escolar tornaram-se mais secos em todas as cidades portuguesas. Faro, por exemplo, ganhou quase uma semana de seca acima do normal em pleno ano letivo.</w:t>
      </w:r>
    </w:p>
    <w:p>
      <w:pPr>
        <w:pStyle w:val="WSStim"/>
      </w:pPr>
      <w:r>
        <w:t xml:space="preserve">www.publico.pt (texto adaptado)</w:t>
      </w:r>
    </w:p>
    <w:p>
      <w:pPr>
        <w:pStyle w:val="WSStem"/>
      </w:pPr>
      <w:r>
        <w:rPr>
          <w:b/>
          <w:bCs/>
        </w:rPr>
        <w:t xml:space="preserve">(a)</w:t>
      </w:r>
      <w:r>
        <w:t xml:space="preserve"> Segundo Marta Nunes, a perda de precipitação nas cidades portuguesas «é normal» porque</w:t>
      </w:r>
    </w:p>
    <w:p>
      <w:pPr>
        <w:pStyle w:val="WSChoice"/>
      </w:pPr>
      <w:r>
        <w:rPr>
          <w:b/>
          <w:bCs/>
        </w:rPr>
        <w:t xml:space="preserve">a.</w:t>
      </w:r>
      <w:r>
        <w:t xml:space="preserve"> </w:t>
      </w:r>
      <w:r>
        <w:t xml:space="preserve">a precipitação de partida já era baixa nas latitudes mais baixas.</w:t>
      </w:r>
    </w:p>
    <w:p>
      <w:pPr>
        <w:pStyle w:val="WSChoice"/>
      </w:pPr>
      <w:r>
        <w:rPr>
          <w:b/>
          <w:bCs/>
        </w:rPr>
        <w:t xml:space="preserve">b.</w:t>
      </w:r>
      <w:r>
        <w:t xml:space="preserve"> </w:t>
      </w:r>
      <w:r>
        <w:t xml:space="preserve">as cidades portuguesas estão situadas junto ao mar.</w:t>
      </w:r>
    </w:p>
    <w:p>
      <w:pPr>
        <w:pStyle w:val="WSChoice"/>
      </w:pPr>
      <w:r>
        <w:rPr>
          <w:b/>
          <w:bCs/>
        </w:rPr>
        <w:t xml:space="preserve">c.</w:t>
      </w:r>
      <w:r>
        <w:t xml:space="preserve"> </w:t>
      </w:r>
      <w:r>
        <w:t xml:space="preserve">as cidades do norte da Europa perderam mais chuva.</w:t>
      </w:r>
    </w:p>
    <w:p>
      <w:pPr>
        <w:pStyle w:val="WSRule"/>
      </w:pPr>
      <w:r>
        <w:rPr>
          <w:u w:val="single" w:color="9AA3B2"/>
        </w:rPr>
        <w:tab/>
      </w:r>
    </w:p>
    <w:p>
      <w:pPr>
        <w:pStyle w:val="WSStem"/>
      </w:pPr>
      <w:r>
        <w:rPr>
          <w:b/>
          <w:bCs/>
        </w:rPr>
        <w:t xml:space="preserve">(b)</w:t>
      </w:r>
      <w:r>
        <w:t xml:space="preserve"> A tendência generalizada de aumento do número de dias de seca por ano civil é contrariada</w:t>
      </w:r>
    </w:p>
    <w:p>
      <w:pPr>
        <w:pStyle w:val="WSChoice"/>
      </w:pPr>
      <w:r>
        <w:rPr>
          <w:b/>
          <w:bCs/>
        </w:rPr>
        <w:t xml:space="preserve">a.</w:t>
      </w:r>
      <w:r>
        <w:t xml:space="preserve"> </w:t>
      </w:r>
      <w:r>
        <w:t xml:space="preserve">por 480 dos locais analisados.</w:t>
      </w:r>
    </w:p>
    <w:p>
      <w:pPr>
        <w:pStyle w:val="WSChoice"/>
      </w:pPr>
      <w:r>
        <w:rPr>
          <w:b/>
          <w:bCs/>
        </w:rPr>
        <w:t xml:space="preserve">b.</w:t>
      </w:r>
      <w:r>
        <w:t xml:space="preserve"> </w:t>
      </w:r>
      <w:r>
        <w:t xml:space="preserve">por quatro cidades.</w:t>
      </w:r>
    </w:p>
    <w:p>
      <w:pPr>
        <w:pStyle w:val="WSChoice"/>
      </w:pPr>
      <w:r>
        <w:rPr>
          <w:b/>
          <w:bCs/>
        </w:rPr>
        <w:t xml:space="preserve">c.</w:t>
      </w:r>
      <w:r>
        <w:t xml:space="preserve"> </w:t>
      </w:r>
      <w:r>
        <w:t xml:space="preserve">por todas as cidades portuguesas.</w:t>
      </w:r>
    </w:p>
    <w:p>
      <w:pPr>
        <w:pStyle w:val="WSRule"/>
      </w:pPr>
      <w:r>
        <w:rPr>
          <w:u w:val="single" w:color="9AA3B2"/>
        </w:rPr>
        <w:tab/>
      </w:r>
    </w:p>
    <w:p>
      <w:pPr>
        <w:pStyle w:val="WSStem"/>
      </w:pPr>
      <w:r>
        <w:rPr>
          <w:b/>
          <w:bCs/>
        </w:rPr>
        <w:t xml:space="preserve">(c)</w:t>
      </w:r>
      <w:r>
        <w:t xml:space="preserve"> A expressão «muitíssimo significativa», usada por Marta Nunes, refere-se</w:t>
      </w:r>
    </w:p>
    <w:p>
      <w:pPr>
        <w:pStyle w:val="WSChoice"/>
      </w:pPr>
      <w:r>
        <w:rPr>
          <w:b/>
          <w:bCs/>
        </w:rPr>
        <w:t xml:space="preserve">a.</w:t>
      </w:r>
      <w:r>
        <w:t xml:space="preserve"> </w:t>
      </w:r>
      <w:r>
        <w:t xml:space="preserve">ao número de cidades europeias analisadas.</w:t>
      </w:r>
    </w:p>
    <w:p>
      <w:pPr>
        <w:pStyle w:val="WSChoice"/>
      </w:pPr>
      <w:r>
        <w:rPr>
          <w:b/>
          <w:bCs/>
        </w:rPr>
        <w:t xml:space="preserve">b.</w:t>
      </w:r>
      <w:r>
        <w:t xml:space="preserve"> </w:t>
      </w:r>
      <w:r>
        <w:t xml:space="preserve">à redução da precipitação nas cidades portuguesas.</w:t>
      </w:r>
    </w:p>
    <w:p>
      <w:pPr>
        <w:pStyle w:val="WSChoice"/>
      </w:pPr>
      <w:r>
        <w:rPr>
          <w:b/>
          <w:bCs/>
        </w:rPr>
        <w:t xml:space="preserve">c.</w:t>
      </w:r>
      <w:r>
        <w:t xml:space="preserve"> </w:t>
      </w:r>
      <w:r>
        <w:t xml:space="preserve">à média de precipitação registada entre 1900 e 1999.</w:t>
      </w:r>
    </w:p>
    <w:p>
      <w:pPr>
        <w:pStyle w:val="WSRule"/>
      </w:pPr>
      <w:r>
        <w:rPr>
          <w:u w:val="single" w:color="9AA3B2"/>
        </w:rPr>
        <w:tab/>
      </w:r>
    </w:p>
    <w:p>
      <w:r>
        <w:br w:type="page"/>
      </w:r>
    </w:p>
    <w:p>
      <w:pPr>
        <w:pStyle w:val="WSBand"/>
      </w:pPr>
      <w:r>
        <w:t xml:space="preserve">Question 3</w:t>
      </w:r>
    </w:p>
    <w:p>
      <w:pPr>
        <w:pStyle w:val="WSStim"/>
      </w:pPr>
      <w:r>
        <w:t xml:space="preserve">Para cada item (3.1. a 3.4.), responde de acordo com o Texto A.</w:t>
      </w:r>
    </w:p>
    <w:p>
      <w:pPr>
        <w:pStyle w:val="WSStem"/>
      </w:pPr>
      <w:r>
        <w:rPr>
          <w:b/>
          <w:bCs/>
        </w:rPr>
        <w:t xml:space="preserve">(a)</w:t>
      </w:r>
      <w:r>
        <w:t xml:space="preserve"> Na Europa, a cidade que mais perdeu precipitação nos últimos 17 anos situa-se</w:t>
      </w:r>
    </w:p>
    <w:p>
      <w:pPr>
        <w:pStyle w:val="WSChoice"/>
      </w:pPr>
      <w:r>
        <w:rPr>
          <w:b/>
          <w:bCs/>
        </w:rPr>
        <w:t xml:space="preserve">a.</w:t>
      </w:r>
      <w:r>
        <w:t xml:space="preserve"> </w:t>
      </w:r>
      <w:r>
        <w:t xml:space="preserve">na Grécia.</w:t>
      </w:r>
    </w:p>
    <w:p>
      <w:pPr>
        <w:pStyle w:val="WSChoice"/>
      </w:pPr>
      <w:r>
        <w:rPr>
          <w:b/>
          <w:bCs/>
        </w:rPr>
        <w:t xml:space="preserve">b.</w:t>
      </w:r>
      <w:r>
        <w:t xml:space="preserve"> </w:t>
      </w:r>
      <w:r>
        <w:t xml:space="preserve">em Portugal.</w:t>
      </w:r>
    </w:p>
    <w:p>
      <w:pPr>
        <w:pStyle w:val="WSChoice"/>
      </w:pPr>
      <w:r>
        <w:rPr>
          <w:b/>
          <w:bCs/>
        </w:rPr>
        <w:t xml:space="preserve">c.</w:t>
      </w:r>
      <w:r>
        <w:t xml:space="preserve"> </w:t>
      </w:r>
      <w:r>
        <w:t xml:space="preserve">em Espanha.</w:t>
      </w:r>
    </w:p>
    <w:p>
      <w:pPr>
        <w:pStyle w:val="WSChoice"/>
      </w:pPr>
      <w:r>
        <w:rPr>
          <w:b/>
          <w:bCs/>
        </w:rPr>
        <w:t xml:space="preserve">d.</w:t>
      </w:r>
      <w:r>
        <w:t xml:space="preserve"> </w:t>
      </w:r>
      <w:r>
        <w:t xml:space="preserve">no Chipre.</w:t>
      </w:r>
    </w:p>
    <w:p>
      <w:pPr>
        <w:pStyle w:val="WSRule"/>
      </w:pPr>
      <w:r>
        <w:rPr>
          <w:u w:val="single" w:color="9AA3B2"/>
        </w:rPr>
        <w:tab/>
      </w:r>
    </w:p>
    <w:p>
      <w:pPr>
        <w:pStyle w:val="WSStem"/>
      </w:pPr>
      <w:r>
        <w:rPr>
          <w:b/>
          <w:bCs/>
        </w:rPr>
        <w:t xml:space="preserve">(b)</w:t>
      </w:r>
      <w:r>
        <w:t xml:space="preserve"> A cidade de Faro</w:t>
      </w:r>
    </w:p>
    <w:p>
      <w:pPr>
        <w:pStyle w:val="WSChoice"/>
      </w:pPr>
      <w:r>
        <w:rPr>
          <w:b/>
          <w:bCs/>
        </w:rPr>
        <w:t xml:space="preserve">a.</w:t>
      </w:r>
      <w:r>
        <w:t xml:space="preserve"> </w:t>
      </w:r>
      <w:r>
        <w:t xml:space="preserve">perdeu tanta chuva como a cidade de Évora.</w:t>
      </w:r>
    </w:p>
    <w:p>
      <w:pPr>
        <w:pStyle w:val="WSChoice"/>
      </w:pPr>
      <w:r>
        <w:rPr>
          <w:b/>
          <w:bCs/>
        </w:rPr>
        <w:t xml:space="preserve">b.</w:t>
      </w:r>
      <w:r>
        <w:t xml:space="preserve"> </w:t>
      </w:r>
      <w:r>
        <w:t xml:space="preserve">era mais chuvosa no século XX.</w:t>
      </w:r>
    </w:p>
    <w:p>
      <w:pPr>
        <w:pStyle w:val="WSChoice"/>
      </w:pPr>
      <w:r>
        <w:rPr>
          <w:b/>
          <w:bCs/>
        </w:rPr>
        <w:t xml:space="preserve">c.</w:t>
      </w:r>
      <w:r>
        <w:t xml:space="preserve"> </w:t>
      </w:r>
      <w:r>
        <w:t xml:space="preserve">é a mais chuvosa do país.</w:t>
      </w:r>
    </w:p>
    <w:p>
      <w:pPr>
        <w:pStyle w:val="WSChoice"/>
      </w:pPr>
      <w:r>
        <w:rPr>
          <w:b/>
          <w:bCs/>
        </w:rPr>
        <w:t xml:space="preserve">d.</w:t>
      </w:r>
      <w:r>
        <w:t xml:space="preserve"> </w:t>
      </w:r>
      <w:r>
        <w:t xml:space="preserve">registou menos dias de seca ao longo do ano letivo.</w:t>
      </w:r>
    </w:p>
    <w:p>
      <w:pPr>
        <w:pStyle w:val="WSRule"/>
      </w:pPr>
      <w:r>
        <w:rPr>
          <w:u w:val="single" w:color="9AA3B2"/>
        </w:rPr>
        <w:tab/>
      </w:r>
    </w:p>
    <w:p>
      <w:pPr>
        <w:pStyle w:val="WSStem"/>
      </w:pPr>
      <w:r>
        <w:rPr>
          <w:b/>
          <w:bCs/>
        </w:rPr>
        <w:t xml:space="preserve">(c)</w:t>
      </w:r>
      <w:r>
        <w:t xml:space="preserve"> Explica por que razão é adequado afirmar-se que o caso das cidades portuguesas não deixa de ser preocupante.</w:t>
      </w:r>
    </w:p>
    <w:p>
      <w:pPr>
        <w:pStyle w:val="WSRule"/>
      </w:pPr>
      <w:r>
        <w:rPr>
          <w:u w:val="single" w:color="9AA3B2"/>
        </w:rPr>
        <w:tab/>
      </w:r>
    </w:p>
    <w:p>
      <w:pPr>
        <w:pStyle w:val="WSRule"/>
      </w:pPr>
      <w:r>
        <w:rPr>
          <w:u w:val="single" w:color="9AA3B2"/>
        </w:rPr>
        <w:tab/>
      </w:r>
    </w:p>
    <w:p>
      <w:pPr>
        <w:pStyle w:val="WSStem"/>
      </w:pPr>
      <w:r>
        <w:rPr>
          <w:b/>
          <w:bCs/>
        </w:rPr>
        <w:t xml:space="preserve">(d)</w:t>
      </w:r>
      <w:r>
        <w:t xml:space="preserve"> Indica a alínea que corresponde ao assunto a que é dado maior destaque no texto.</w:t>
      </w:r>
    </w:p>
    <w:p>
      <w:pPr>
        <w:pStyle w:val="WSChoice"/>
      </w:pPr>
      <w:r>
        <w:rPr>
          <w:b/>
          <w:bCs/>
        </w:rPr>
        <w:t xml:space="preserve">a.</w:t>
      </w:r>
      <w:r>
        <w:t xml:space="preserve"> </w:t>
      </w:r>
      <w:r>
        <w:t xml:space="preserve">Estado do tempo na Europa ao longo de um mês</w:t>
      </w:r>
    </w:p>
    <w:p>
      <w:pPr>
        <w:pStyle w:val="WSChoice"/>
      </w:pPr>
      <w:r>
        <w:rPr>
          <w:b/>
          <w:bCs/>
        </w:rPr>
        <w:t xml:space="preserve">b.</w:t>
      </w:r>
      <w:r>
        <w:t xml:space="preserve"> </w:t>
      </w:r>
      <w:r>
        <w:t xml:space="preserve">A redução da chuva nas cidades portuguesas</w:t>
      </w:r>
    </w:p>
    <w:p>
      <w:pPr>
        <w:pStyle w:val="WSChoice"/>
      </w:pPr>
      <w:r>
        <w:rPr>
          <w:b/>
          <w:bCs/>
        </w:rPr>
        <w:t xml:space="preserve">c.</w:t>
      </w:r>
      <w:r>
        <w:t xml:space="preserve"> </w:t>
      </w:r>
      <w:r>
        <w:t xml:space="preserve">As três cidades que mais perderam precipitação em Espanha</w:t>
      </w:r>
    </w:p>
    <w:p>
      <w:pPr>
        <w:pStyle w:val="WSChoice"/>
      </w:pPr>
      <w:r>
        <w:rPr>
          <w:b/>
          <w:bCs/>
        </w:rPr>
        <w:t xml:space="preserve">d.</w:t>
      </w:r>
      <w:r>
        <w:t xml:space="preserve"> </w:t>
      </w:r>
      <w:r>
        <w:t xml:space="preserve">A quantidade de água existente nos oceanos e nos rios</w:t>
      </w:r>
    </w:p>
    <w:p>
      <w:pPr>
        <w:pStyle w:val="WSRule"/>
      </w:pPr>
      <w:r>
        <w:rPr>
          <w:u w:val="single" w:color="9AA3B2"/>
        </w:rPr>
        <w:tab/>
      </w:r>
    </w:p>
    <w:p>
      <w:r>
        <w:br w:type="page"/>
      </w:r>
    </w:p>
    <w:p>
      <w:pPr>
        <w:pStyle w:val="WSBand"/>
      </w:pPr>
      <w:r>
        <w:t xml:space="preserve">Question 4</w:t>
      </w:r>
    </w:p>
    <w:p>
      <w:pPr>
        <w:pStyle w:val="WSStim"/>
      </w:pPr>
      <w:r>
        <w:t xml:space="preserve">Texto B</w:t>
      </w:r>
    </w:p>
    <w:p>
      <w:pPr>
        <w:pStyle w:val="WSStim"/>
      </w:pPr>
      <w:r>
        <w:t xml:space="preserve">Lê o texto e as notas apresentadas no final do mesmo.</w:t>
      </w:r>
    </w:p>
    <w:p>
      <w:pPr>
        <w:pStyle w:val="WSStim"/>
      </w:pPr>
      <w:r>
        <w:t xml:space="preserve">Por essa hora, todas as conversas estavam esgotadas e tinham perdido o sabor, de maneira que a malta se sentava nos degraus, um bocado sem saber de si.</w:t>
      </w:r>
    </w:p>
    <w:p>
      <w:pPr>
        <w:pStyle w:val="WSStim"/>
      </w:pPr>
      <w:r>
        <w:t xml:space="preserve">E vai daí a Rita (uma muito decidida, de tranças apertadas, olhos vivos, de quem nunca deixou um piquenique sem levar o pão da merenda, marota!) e diz, apontando para a porta da adegueira: — ’Tão e se a gente descesse?</w:t>
      </w:r>
    </w:p>
    <w:p>
      <w:pPr>
        <w:pStyle w:val="WSStim"/>
      </w:pPr>
      <w:r>
        <w:t xml:space="preserve">Os outros ponderaram(1) gravemente, entreolhando-se. A porta da adegueira — assim chamada por dar acesso às adegas do Beco — era uma das mais antigas proibições dos adultos, ninguém sabia porquê, nem mesmo os próprios garantes(2) da proibição.</w:t>
      </w:r>
    </w:p>
    <w:p>
      <w:pPr>
        <w:pStyle w:val="WSStim"/>
      </w:pPr>
      <w:r>
        <w:t xml:space="preserve">— Tu e tu ficam de vigia — ordenou a Rita a dois rapazes, os mais tímidos e mais desajeitados do grupo, a quem cabiam sempre as tarefas menos sedutoras.</w:t>
      </w:r>
    </w:p>
    <w:p>
      <w:pPr>
        <w:pStyle w:val="WSStim"/>
      </w:pPr>
      <w:r>
        <w:t xml:space="preserve">Então juntaram-se todos em molho junto à porta e vá de empurrarem.</w:t>
      </w:r>
    </w:p>
    <w:p>
      <w:pPr>
        <w:pStyle w:val="WSStim"/>
      </w:pPr>
      <w:r>
        <w:t xml:space="preserve">Crac zacpacpac — fez a velha porta ao impulso, e logo ficou ali escancarada. Um ar frio e húmido pareceu hesitar à soleira, mas depois enfiou-se, corredia, por ali dentro e abriu caminho aos miúdos.</w:t>
      </w:r>
    </w:p>
    <w:p>
      <w:pPr>
        <w:pStyle w:val="WSStim"/>
      </w:pPr>
      <w:r>
        <w:t xml:space="preserve">Desceram cautelosamente uma escadinha de pedra, num ambiente toado de cheiros a terra e a avelãs.</w:t>
      </w:r>
    </w:p>
    <w:p>
      <w:pPr>
        <w:pStyle w:val="WSStim"/>
      </w:pPr>
      <w:r>
        <w:t xml:space="preserve">Então a Rita descobriu numa parede uma manivela de bronze, toda encoberta pela teia. De um poço redondo, plantado no chão, subia uma corda gasta, presa a uma roldana de ferro.</w:t>
      </w:r>
    </w:p>
    <w:p>
      <w:pPr>
        <w:pStyle w:val="WSStim"/>
      </w:pPr>
      <w:r>
        <w:t xml:space="preserve">Não tardou, estavam todos em volta da manivela, a fazer força. Nem buliu(3).</w:t>
      </w:r>
    </w:p>
    <w:p>
      <w:pPr>
        <w:pStyle w:val="WSStim"/>
      </w:pPr>
      <w:r>
        <w:t xml:space="preserve">— Deve ’tar encravada — observou a Rita.</w:t>
      </w:r>
    </w:p>
    <w:p>
      <w:pPr>
        <w:pStyle w:val="WSStim"/>
      </w:pPr>
      <w:r>
        <w:t xml:space="preserve">Ocuparam-se da roldana, puxando-lhe pela corda. A roldana desandou, chiou, deu de si.</w:t>
      </w:r>
    </w:p>
    <w:p>
      <w:pPr>
        <w:pStyle w:val="WSStim"/>
      </w:pPr>
      <w:r>
        <w:t xml:space="preserve">— Parece a roldana dum poço de aldeia — disse a Rita, e ia dando voltas e voltas àquilo. Nisto, veio um dos rapazes à porta e diz:</w:t>
      </w:r>
    </w:p>
    <w:p>
      <w:pPr>
        <w:pStyle w:val="WSStim"/>
      </w:pPr>
      <w:r>
        <w:t xml:space="preserve">— Cavem que vem lá a avó da Rita!</w:t>
      </w:r>
    </w:p>
    <w:p>
      <w:pPr>
        <w:pStyle w:val="WSStim"/>
      </w:pPr>
      <w:r>
        <w:t xml:space="preserve">Foi um zás-catrapás-pé-de-gato-e-vê-se-te-avias daquela miudagem toda a subir dali para fora.</w:t>
      </w:r>
    </w:p>
    <w:p>
      <w:pPr>
        <w:pStyle w:val="WSStim"/>
      </w:pPr>
      <w:r>
        <w:t xml:space="preserve">A D. Etelvina viu a neta e a catraiada(4) toda a esgueirar-se pela porta da adegueira e logo pôs as mãos nos quadris em sinal de escândalo. Mas ainda ia a reunir em pensamento o sermão(5) adequado quando, lá no céu de Julho, se pôs a cair neve miudinha. Esquadrinhados(6) os ares, todos viram que flocos grandes e brancos convergiam num ponto do céu onde também se agrupavam nuvens escuras.</w:t>
      </w:r>
    </w:p>
    <w:p>
      <w:pPr>
        <w:pStyle w:val="WSStim"/>
      </w:pPr>
      <w:r>
        <w:t xml:space="preserve">Vinha agora o Zé Metade pelo Beco e também ficou a olhar para cima, donde tombavam flocos grandes batendo no empedrado.</w:t>
      </w:r>
    </w:p>
    <w:p>
      <w:pPr>
        <w:pStyle w:val="WSStim"/>
      </w:pPr>
      <w:r>
        <w:t xml:space="preserve">— Ó vizinhas — bradou uma mulher à janela, arrepanhando lençóis e trapos do estendal. — Olhem a neve que vem frio!</w:t>
      </w:r>
    </w:p>
    <w:p>
      <w:pPr>
        <w:pStyle w:val="WSStim"/>
      </w:pPr>
      <w:r>
        <w:t xml:space="preserve">Mas essa mulher não terminou a recolha e ficou-se pasmada, com uma mola numa mão e a ponta de umas ceroulas na outra. É que os flocos tinham engrossado até ao tamanho de pombas e caíam agora sempre no mesmo ponto com fragor(7). Havia já coberto de branco algumas pedras da calçada e espalhava em volta um silencioso manto que já subia em regueiras frias pelo Beco afora.</w:t>
      </w:r>
    </w:p>
    <w:p>
      <w:pPr>
        <w:pStyle w:val="WSStim"/>
      </w:pPr>
      <w:r>
        <w:t xml:space="preserve">— Ai que só cai no mesmo sítio — comentavam agora as mulheres às janelas.</w:t>
      </w:r>
    </w:p>
    <w:p>
      <w:pPr>
        <w:pStyle w:val="WSStim"/>
      </w:pPr>
      <w:r>
        <w:t xml:space="preserve">E era verdade. Aquilo era uma nevasca tombada diretamente dos céus, como se a neve viesse caindo por uma nuvem estreita presa lá em cima.</w:t>
      </w:r>
    </w:p>
    <w:p>
      <w:pPr>
        <w:pStyle w:val="WSStim"/>
      </w:pPr>
      <w:r>
        <w:t xml:space="preserve">— O que vale é que é só naquele sítio, ali a meio do Beco. Se nevasse com aquela força por toda a cidade… Olhem, era pior que a nevasca de fevereiro ou eu sei lá… — comentou alguém.</w:t>
      </w:r>
    </w:p>
    <w:p>
      <w:pPr>
        <w:pStyle w:val="WSStim"/>
      </w:pPr>
      <w:r>
        <w:t xml:space="preserve">Mas aquele manto branco barulhento já começava a incomodar:</w:t>
      </w:r>
    </w:p>
    <w:p>
      <w:pPr>
        <w:pStyle w:val="WSStim"/>
      </w:pPr>
      <w:r>
        <w:t xml:space="preserve">— Daqui a nada estão os telhados a ceder, ainda temos que chamar os bombeiros…</w:t>
      </w:r>
    </w:p>
    <w:p>
      <w:pPr>
        <w:pStyle w:val="WSStim"/>
      </w:pPr>
      <w:r>
        <w:t xml:space="preserve">E o pessoal ia-se ficando por ali, a olhar para a neve, sem atinar com o que fazer.</w:t>
      </w:r>
    </w:p>
    <w:p>
      <w:pPr>
        <w:pStyle w:val="WSStim"/>
      </w:pPr>
      <w:r>
        <w:t xml:space="preserve">A Rita estava junto à avó, com os seus olhos vivos num espanto. De repente teve um sobressalto, como se se lembrasse de qualquer coisa, e puxou pela saia da D. Etelvina.</w:t>
      </w:r>
    </w:p>
    <w:p>
      <w:pPr>
        <w:pStyle w:val="WSStim"/>
      </w:pPr>
      <w:r>
        <w:t xml:space="preserve">— Que é que foi?</w:t>
      </w:r>
    </w:p>
    <w:p>
      <w:pPr>
        <w:pStyle w:val="WSStim"/>
      </w:pPr>
      <w:r>
        <w:t xml:space="preserve">— Avó, posso ir ali à porta da adegueira?</w:t>
      </w:r>
    </w:p>
    <w:p>
      <w:pPr>
        <w:pStyle w:val="WSStim"/>
      </w:pPr>
      <w:r>
        <w:t xml:space="preserve">— Nem pensar em tal semelhante — respondeu a avó. — Lá em casa depois falamos.</w:t>
      </w:r>
    </w:p>
    <w:p>
      <w:pPr>
        <w:pStyle w:val="WSStim"/>
      </w:pPr>
      <w:r>
        <w:t xml:space="preserve">Mas a miúda não ficou muito tempo a hesitar. Rompeu a correr, furou pelo grupo fora, desceu de roldão pela porta da adegueira, foi-se à manivela e toca de fazê-la girar no sentido inverso. Quando a avó a sacou dali com um forte puxão de orelhas, a manivela estava na posição em que a Rita a tinha encontrado antes.</w:t>
      </w:r>
    </w:p>
    <w:p>
      <w:pPr>
        <w:pStyle w:val="WSStim"/>
      </w:pPr>
      <w:r>
        <w:t xml:space="preserve">Mário de Carvalho, Casos do Beco das Sardinheiras, Porto, Porto Editora, 2015. (texto com supressões)</w:t>
      </w:r>
    </w:p>
    <w:p>
      <w:pPr>
        <w:pStyle w:val="WSStim"/>
      </w:pPr>
      <w:r>
        <w:t xml:space="preserve">NOTAS</w:t>
      </w:r>
    </w:p>
    <w:p>
      <w:pPr>
        <w:pStyle w:val="Compact"/>
        <w:numPr>
          <w:ilvl w:val="0"/>
          <w:numId w:val="1001"/>
        </w:numPr>
      </w:pPr>
      <w:r>
        <w:t xml:space="preserve">ponderaram – refletiram; pensaram.</w:t>
      </w:r>
    </w:p>
    <w:p>
      <w:pPr>
        <w:pStyle w:val="Compact"/>
        <w:numPr>
          <w:ilvl w:val="0"/>
          <w:numId w:val="1001"/>
        </w:numPr>
      </w:pPr>
      <w:r>
        <w:t xml:space="preserve">garantes – responsáveis (pela proibição).</w:t>
      </w:r>
    </w:p>
    <w:p>
      <w:pPr>
        <w:pStyle w:val="Compact"/>
        <w:numPr>
          <w:ilvl w:val="0"/>
          <w:numId w:val="1001"/>
        </w:numPr>
      </w:pPr>
      <w:r>
        <w:t xml:space="preserve">Nem buliu – não se moveu.</w:t>
      </w:r>
    </w:p>
    <w:p>
      <w:pPr>
        <w:pStyle w:val="Compact"/>
        <w:numPr>
          <w:ilvl w:val="0"/>
          <w:numId w:val="1001"/>
        </w:numPr>
      </w:pPr>
      <w:r>
        <w:t xml:space="preserve">catraiada – grupo de crianças.</w:t>
      </w:r>
    </w:p>
    <w:p>
      <w:pPr>
        <w:pStyle w:val="Compact"/>
        <w:numPr>
          <w:ilvl w:val="0"/>
          <w:numId w:val="1001"/>
        </w:numPr>
      </w:pPr>
      <w:r>
        <w:t xml:space="preserve">sermão – repreensão demorada.</w:t>
      </w:r>
    </w:p>
    <w:p>
      <w:pPr>
        <w:pStyle w:val="Compact"/>
        <w:numPr>
          <w:ilvl w:val="0"/>
          <w:numId w:val="1001"/>
        </w:numPr>
      </w:pPr>
      <w:r>
        <w:t xml:space="preserve">Esquadrinhados – estudados com cuidado.</w:t>
      </w:r>
    </w:p>
    <w:p>
      <w:pPr>
        <w:pStyle w:val="Compact"/>
        <w:numPr>
          <w:ilvl w:val="0"/>
          <w:numId w:val="1001"/>
        </w:numPr>
      </w:pPr>
      <w:r>
        <w:t xml:space="preserve">fragor – estrondo.</w:t>
      </w:r>
    </w:p>
    <w:p>
      <w:pPr>
        <w:pStyle w:val="WSStem"/>
      </w:pPr>
      <w:r>
        <w:rPr>
          <w:b/>
          <w:bCs/>
        </w:rPr>
        <w:t xml:space="preserve">(a)</w:t>
      </w:r>
      <w:r>
        <w:t xml:space="preserve"> Neste texto, conta-se um episódio vivido pelos habitantes de certa zona de uma cidade. Refere, por palavras tuas, o que se passava com a Rita e os seus amigos no início do texto, antes de tudo acontecer.</w:t>
      </w:r>
    </w:p>
    <w:p>
      <w:pPr>
        <w:pStyle w:val="WSRule"/>
      </w:pPr>
      <w:r>
        <w:rPr>
          <w:u w:val="single" w:color="9AA3B2"/>
        </w:rPr>
        <w:tab/>
      </w:r>
    </w:p>
    <w:p>
      <w:pPr>
        <w:pStyle w:val="WSRule"/>
      </w:pPr>
      <w:r>
        <w:rPr>
          <w:u w:val="single" w:color="9AA3B2"/>
        </w:rPr>
        <w:tab/>
      </w:r>
    </w:p>
    <w:p>
      <w:pPr>
        <w:pStyle w:val="WSStem"/>
      </w:pPr>
      <w:r>
        <w:rPr>
          <w:b/>
          <w:bCs/>
        </w:rPr>
        <w:t xml:space="preserve">(b)</w:t>
      </w:r>
      <w:r>
        <w:t xml:space="preserve"> Associa cada frase da coluna A a um elemento da coluna B, de acordo com o texto. Escreve, para cada número da coluna A, a letra correspondente da coluna B.</w:t>
      </w:r>
    </w:p>
    <w:tbl>
      <w:tblPr>
        <w:tblStyle w:val="Table"/>
        <w:tblW w:type="pct" w:w="5000"/>
        <w:tblLayout w:type="fixed"/>
        <w:tblLook w:firstRow="0" w:lastRow="0" w:firstColumn="0" w:lastColumn="0" w:noHBand="0" w:noVBand="0" w:val="0000"/>
      </w:tblPr>
      <w:tblGrid>
        <w:gridCol w:w="3960"/>
        <w:gridCol w:w="3960"/>
      </w:tblGrid>
      <w:tr>
        <w:tc>
          <w:tcPr/>
          <w:p>
            <w:pPr>
              <w:pStyle w:val="Compact"/>
            </w:pPr>
            <w:r>
              <w:rPr>
                <w:b/>
                <w:bCs/>
              </w:rPr>
              <w:t xml:space="preserve">1.</w:t>
            </w:r>
            <w:r>
              <w:t xml:space="preserve"> </w:t>
            </w:r>
            <w:r>
              <w:t xml:space="preserve">1. Junto dela, algumas personagens consideram desrespeitar uma proibição.</w:t>
            </w:r>
          </w:p>
        </w:tc>
        <w:tc>
          <w:tcPr/>
          <w:p>
            <w:pPr>
              <w:pStyle w:val="Compact"/>
            </w:pPr>
            <w:r>
              <w:rPr>
                <w:b/>
                <w:bCs/>
              </w:rPr>
              <w:t xml:space="preserve">A.</w:t>
            </w:r>
            <w:r>
              <w:t xml:space="preserve"> </w:t>
            </w:r>
            <w:r>
              <w:t xml:space="preserve">D. Porta da adegueira</w:t>
            </w:r>
          </w:p>
        </w:tc>
      </w:tr>
      <w:tr>
        <w:tc>
          <w:tcPr/>
          <w:p>
            <w:pPr>
              <w:pStyle w:val="Compact"/>
            </w:pPr>
            <w:r>
              <w:rPr>
                <w:b/>
                <w:bCs/>
              </w:rPr>
              <w:t xml:space="preserve">2.</w:t>
            </w:r>
            <w:r>
              <w:t xml:space="preserve"> </w:t>
            </w:r>
            <w:r>
              <w:t xml:space="preserve">2. Há personagens que se divertem com ela por alguns momentos.</w:t>
            </w:r>
          </w:p>
        </w:tc>
        <w:tc>
          <w:tcPr/>
          <w:p>
            <w:pPr>
              <w:pStyle w:val="Compact"/>
            </w:pPr>
            <w:r>
              <w:rPr>
                <w:b/>
                <w:bCs/>
              </w:rPr>
              <w:t xml:space="preserve">B.</w:t>
            </w:r>
            <w:r>
              <w:t xml:space="preserve"> </w:t>
            </w:r>
            <w:r>
              <w:t xml:space="preserve">E. Manivela de bronze</w:t>
            </w:r>
          </w:p>
        </w:tc>
      </w:tr>
      <w:tr>
        <w:tc>
          <w:tcPr/>
          <w:p>
            <w:pPr>
              <w:pStyle w:val="Compact"/>
            </w:pPr>
            <w:r>
              <w:rPr>
                <w:b/>
                <w:bCs/>
              </w:rPr>
              <w:t xml:space="preserve">3.</w:t>
            </w:r>
            <w:r>
              <w:t xml:space="preserve"> </w:t>
            </w:r>
            <w:r>
              <w:t xml:space="preserve">3. Ela é a causa do espanto e da preocupação das personagens em geral.</w:t>
            </w:r>
          </w:p>
        </w:tc>
        <w:tc>
          <w:tcPr/>
          <w:p>
            <w:pPr>
              <w:pStyle w:val="Compact"/>
            </w:pPr>
            <w:r>
              <w:rPr>
                <w:b/>
                <w:bCs/>
              </w:rPr>
              <w:t xml:space="preserve">C.</w:t>
            </w:r>
            <w:r>
              <w:t xml:space="preserve"> </w:t>
            </w:r>
            <w:r>
              <w:t xml:space="preserve">B. Nevasca de Julho</w:t>
            </w:r>
          </w:p>
        </w:tc>
      </w:tr>
      <w:tr>
        <w:tc>
          <w:tcPr/>
          <w:p>
            <w:pPr>
              <w:pStyle w:val="Compact"/>
            </w:pPr>
            <w:r>
              <w:rPr>
                <w:b/>
                <w:bCs/>
              </w:rPr>
              <w:t xml:space="preserve">4.</w:t>
            </w:r>
          </w:p>
        </w:tc>
        <w:tc>
          <w:tcPr/>
          <w:p>
            <w:pPr>
              <w:pStyle w:val="Compact"/>
            </w:pPr>
            <w:r>
              <w:rPr>
                <w:b/>
                <w:bCs/>
              </w:rPr>
              <w:t xml:space="preserve">D.</w:t>
            </w:r>
            <w:r>
              <w:t xml:space="preserve"> </w:t>
            </w:r>
            <w:r>
              <w:t xml:space="preserve">A. Escada de pedra</w:t>
            </w:r>
          </w:p>
        </w:tc>
      </w:tr>
      <w:tr>
        <w:tc>
          <w:tcPr/>
          <w:p>
            <w:pPr>
              <w:pStyle w:val="Compact"/>
            </w:pPr>
            <w:r>
              <w:rPr>
                <w:b/>
                <w:bCs/>
              </w:rPr>
              <w:t xml:space="preserve">5.</w:t>
            </w:r>
          </w:p>
        </w:tc>
        <w:tc>
          <w:tcPr/>
          <w:p>
            <w:pPr>
              <w:pStyle w:val="Compact"/>
            </w:pPr>
            <w:r>
              <w:rPr>
                <w:b/>
                <w:bCs/>
              </w:rPr>
              <w:t xml:space="preserve">E.</w:t>
            </w:r>
            <w:r>
              <w:t xml:space="preserve"> </w:t>
            </w:r>
            <w:r>
              <w:t xml:space="preserve">C. Janela</w:t>
            </w:r>
          </w:p>
        </w:tc>
      </w:tr>
    </w:tbl>
    <w:p>
      <w:pPr>
        <w:pStyle w:val="WSAnswerLine"/>
      </w:pPr>
      <w:r>
        <w:t xml:space="preserve">Pairings: ________________</w:t>
      </w:r>
    </w:p>
    <w:p>
      <w:pPr>
        <w:pStyle w:val="WSStemFlow"/>
      </w:pPr>
      <w:r>
        <w:rPr>
          <w:b/>
          <w:bCs/>
        </w:rPr>
        <w:t xml:space="preserve">(c)</w:t>
      </w:r>
      <w:r>
        <w:t xml:space="preserve"> A caracterização apresentada entre parênteses no 2.º parágrafo prepara o leitor para o protagonismo da personagem Rita ao longo da narrativa. Indica três comportamentos da Rita que foram fundamentais, respetivamente, para o início, para o desenvolvimento e para a conclusão da ação.</w:t>
      </w:r>
    </w:p>
    <w:p>
      <w:pPr>
        <w:pStyle w:val="WSStemFlow"/>
        <w:numPr>
          <w:ilvl w:val="0"/>
          <w:numId w:val="1002"/>
        </w:numPr>
      </w:pPr>
      <w:r>
        <w:t xml:space="preserve">Início: 1.º comportamento ________________</w:t>
      </w:r>
    </w:p>
    <w:p>
      <w:pPr>
        <w:pStyle w:val="WSStemFlow"/>
        <w:numPr>
          <w:ilvl w:val="0"/>
          <w:numId w:val="1002"/>
        </w:numPr>
      </w:pPr>
      <w:r>
        <w:t xml:space="preserve">Desenvolvimento: 2.º comportamento ________________</w:t>
      </w:r>
    </w:p>
    <w:p>
      <w:pPr>
        <w:pStyle w:val="WSStemFlow"/>
        <w:numPr>
          <w:ilvl w:val="0"/>
          <w:numId w:val="1002"/>
        </w:numPr>
      </w:pPr>
      <w:r>
        <w:t xml:space="preserve">Conclusão: 3.º comportamento ________________</w:t>
      </w:r>
    </w:p>
    <w:p>
      <w:pPr>
        <w:pStyle w:val="WSStem"/>
      </w:pPr>
      <w:r>
        <w:rPr>
          <w:b/>
          <w:bCs/>
        </w:rPr>
        <w:t xml:space="preserve">(d)</w:t>
      </w:r>
      <w:r>
        <w:t xml:space="preserve"> Indica a alínea que completa a afirmação, de acordo com o texto. No texto, o narrador usa uma onomatopeia («Crac zacpacpac») para, com vivacidade,</w:t>
      </w:r>
    </w:p>
    <w:p>
      <w:pPr>
        <w:pStyle w:val="WSChoice"/>
      </w:pPr>
      <w:r>
        <w:rPr>
          <w:b/>
          <w:bCs/>
        </w:rPr>
        <w:t xml:space="preserve">a.</w:t>
      </w:r>
      <w:r>
        <w:t xml:space="preserve"> </w:t>
      </w:r>
      <w:r>
        <w:t xml:space="preserve">reproduzir o som emitido por um objeto.</w:t>
      </w:r>
    </w:p>
    <w:p>
      <w:pPr>
        <w:pStyle w:val="WSChoice"/>
      </w:pPr>
      <w:r>
        <w:rPr>
          <w:b/>
          <w:bCs/>
        </w:rPr>
        <w:t xml:space="preserve">b.</w:t>
      </w:r>
      <w:r>
        <w:t xml:space="preserve"> </w:t>
      </w:r>
      <w:r>
        <w:t xml:space="preserve">descrever o espaço onde decorre a ação.</w:t>
      </w:r>
    </w:p>
    <w:p>
      <w:pPr>
        <w:pStyle w:val="WSChoice"/>
      </w:pPr>
      <w:r>
        <w:rPr>
          <w:b/>
          <w:bCs/>
        </w:rPr>
        <w:t xml:space="preserve">c.</w:t>
      </w:r>
      <w:r>
        <w:t xml:space="preserve"> </w:t>
      </w:r>
      <w:r>
        <w:t xml:space="preserve">relatar o comportamento das personagens.</w:t>
      </w:r>
    </w:p>
    <w:p>
      <w:pPr>
        <w:pStyle w:val="WSChoice"/>
      </w:pPr>
      <w:r>
        <w:rPr>
          <w:b/>
          <w:bCs/>
        </w:rPr>
        <w:t xml:space="preserve">d.</w:t>
      </w:r>
      <w:r>
        <w:t xml:space="preserve"> </w:t>
      </w:r>
      <w:r>
        <w:t xml:space="preserve">transmitir as alterações no estado do tempo.</w:t>
      </w:r>
    </w:p>
    <w:p>
      <w:pPr>
        <w:pStyle w:val="WSRule"/>
      </w:pPr>
      <w:r>
        <w:rPr>
          <w:u w:val="single" w:color="9AA3B2"/>
        </w:rPr>
        <w:tab/>
      </w:r>
    </w:p>
    <w:p>
      <w:pPr>
        <w:pStyle w:val="WSStem"/>
      </w:pPr>
      <w:r>
        <w:rPr>
          <w:b/>
          <w:bCs/>
        </w:rPr>
        <w:t xml:space="preserve">(e)</w:t>
      </w:r>
      <w:r>
        <w:t xml:space="preserve"> «A D. Etelvina viu a neta e a catraiada toda a esgueirar-se pela porta da adegueira e logo pôs as mãos nos quadris em sinal de escândalo.» A D. Etelvina preparava-se para fazer algo. O quê? Porquê? Por que razão não o fez?</w:t>
      </w:r>
    </w:p>
    <w:p>
      <w:pPr>
        <w:pStyle w:val="WSRule"/>
      </w:pPr>
      <w:r>
        <w:rPr>
          <w:u w:val="single" w:color="9AA3B2"/>
        </w:rPr>
        <w:tab/>
      </w:r>
    </w:p>
    <w:p>
      <w:pPr>
        <w:pStyle w:val="WSRule"/>
      </w:pPr>
      <w:r>
        <w:rPr>
          <w:u w:val="single" w:color="9AA3B2"/>
        </w:rPr>
        <w:tab/>
      </w:r>
    </w:p>
    <w:p>
      <w:pPr>
        <w:pStyle w:val="WSStem"/>
      </w:pPr>
      <w:r>
        <w:rPr>
          <w:b/>
          <w:bCs/>
        </w:rPr>
        <w:t xml:space="preserve">(f)</w:t>
      </w:r>
      <w:r>
        <w:t xml:space="preserve"> As falas seguintes são ditas por personagens do texto.</w:t>
      </w:r>
    </w:p>
    <w:p>
      <w:pPr>
        <w:pStyle w:val="WSStem"/>
      </w:pPr>
      <w:r>
        <w:t xml:space="preserve">— ’Tão e se a gente descesse? (linha 5)</w:t>
      </w:r>
    </w:p>
    <w:p>
      <w:pPr>
        <w:pStyle w:val="WSStem"/>
      </w:pPr>
      <w:r>
        <w:t xml:space="preserve">— Cavem que vem lá a avó da Rita! (linha 25)</w:t>
      </w:r>
    </w:p>
    <w:p>
      <w:pPr>
        <w:pStyle w:val="WSStem"/>
      </w:pPr>
      <w:r>
        <w:t xml:space="preserve">— Ó vizinhas […] — Olhem a neve que vem frio! (linhas 35-36)</w:t>
      </w:r>
    </w:p>
    <w:p>
      <w:pPr>
        <w:pStyle w:val="WSStem"/>
      </w:pPr>
      <w:r>
        <w:t xml:space="preserve">— Ai que só cai no mesmo sítio […] (linha 42)</w:t>
      </w:r>
    </w:p>
    <w:p>
      <w:pPr>
        <w:pStyle w:val="WSStem"/>
      </w:pPr>
      <w:r>
        <w:t xml:space="preserve">A interjeição, a expressão popular, o vocativo e a omissão de sílabas são recursos usados nestas falas. Na tua opinião, qual é o efeito conseguido com a utilização dos recursos acima referidos? Na tua resposta, associa a cada recurso um exemplo retirado destas falas.</w:t>
      </w:r>
    </w:p>
    <w:p>
      <w:pPr>
        <w:pStyle w:val="WSRule"/>
      </w:pPr>
      <w:r>
        <w:rPr>
          <w:u w:val="single" w:color="9AA3B2"/>
        </w:rPr>
        <w:tab/>
      </w:r>
    </w:p>
    <w:p>
      <w:pPr>
        <w:pStyle w:val="WSRule"/>
      </w:pPr>
      <w:r>
        <w:rPr>
          <w:u w:val="single" w:color="9AA3B2"/>
        </w:rPr>
        <w:tab/>
      </w:r>
    </w:p>
    <w:p>
      <w:pPr>
        <w:pStyle w:val="WSStem"/>
      </w:pPr>
      <w:r>
        <w:rPr>
          <w:b/>
          <w:bCs/>
        </w:rPr>
        <w:t xml:space="preserve">(g)</w:t>
      </w:r>
      <w:r>
        <w:t xml:space="preserve"> Lê o parágrafo seguinte, que corresponde ao desfecho do texto que leste.</w:t>
      </w:r>
    </w:p>
    <w:p>
      <w:pPr>
        <w:pStyle w:val="WSStem"/>
      </w:pPr>
      <w:r>
        <w:t xml:space="preserve">«Então, cá fora, a neve foi-se tornando mais rala, mais rala, hesitou um tanto, transformou-se em granizo miudinho, deu lugar a uns pingos de chuva morna, cada vez mais espaçados, e desapareceu. Todo o céu retomou o azul limpo de antes.»</w:t>
      </w:r>
    </w:p>
    <w:p>
      <w:pPr>
        <w:pStyle w:val="WSStem"/>
      </w:pPr>
      <w:r>
        <w:t xml:space="preserve">Explica por que razão este parágrafo corresponde ao desfecho do texto, tendo em conta os acontecimentos narrados.</w:t>
      </w:r>
    </w:p>
    <w:p>
      <w:pPr>
        <w:pStyle w:val="WSRule"/>
      </w:pPr>
      <w:r>
        <w:rPr>
          <w:u w:val="single" w:color="9AA3B2"/>
        </w:rPr>
        <w:tab/>
      </w:r>
    </w:p>
    <w:p>
      <w:pPr>
        <w:pStyle w:val="WSRule"/>
      </w:pPr>
      <w:r>
        <w:rPr>
          <w:u w:val="single" w:color="9AA3B2"/>
        </w:rPr>
        <w:tab/>
      </w:r>
    </w:p>
    <w:p>
      <w:r>
        <w:br w:type="page"/>
      </w:r>
    </w:p>
    <w:p>
      <w:pPr>
        <w:pStyle w:val="WSBand"/>
      </w:pPr>
      <w:r>
        <w:t xml:space="preserve">Answer key</w:t>
      </w:r>
    </w:p>
    <w:p>
      <w:pPr>
        <w:pStyle w:val="WSKeyQ"/>
      </w:pPr>
      <w:r>
        <w:t xml:space="preserve">Question 1</w:t>
      </w:r>
    </w:p>
    <w:p>
      <w:pPr>
        <w:pStyle w:val="WSKeyItem"/>
      </w:pPr>
      <w:r>
        <w:t xml:space="preserve">D — Referência à saudade que motivou os jovens a criar o jardim (1)</w:t>
      </w:r>
    </w:p>
    <w:p>
      <w:pPr>
        <w:pStyle w:val="WSKeyCont"/>
      </w:pPr>
      <w:r>
        <w:t xml:space="preserve">B — Descrição do terreno abandonado onde o jardim foi criado (1)</w:t>
      </w:r>
    </w:p>
    <w:p>
      <w:pPr>
        <w:pStyle w:val="WSKeyCont"/>
      </w:pPr>
      <w:r>
        <w:t xml:space="preserve">C — Indicação do número de voluntários que participam no projeto (1)</w:t>
      </w:r>
    </w:p>
    <w:p>
      <w:pPr>
        <w:pStyle w:val="WSKeyCont"/>
      </w:pPr>
      <w:r>
        <w:t xml:space="preserve">A — Identificação do prémio municipal em que o projeto foi distinguido (1)</w:t>
      </w:r>
    </w:p>
    <w:p>
      <w:pPr>
        <w:pStyle w:val="WSKeyQ"/>
      </w:pPr>
      <w:r>
        <w:t xml:space="preserve">Question 2</w:t>
      </w:r>
    </w:p>
    <w:p>
      <w:pPr>
        <w:pStyle w:val="WSKeyItem"/>
      </w:pPr>
      <w:r>
        <w:rPr>
          <w:b/>
          <w:bCs/>
        </w:rPr>
        <w:t xml:space="preserve">(a)</w:t>
      </w:r>
      <w:r>
        <w:t xml:space="preserve"> a</w:t>
      </w:r>
    </w:p>
    <w:p>
      <w:pPr>
        <w:pStyle w:val="WSKeyItem"/>
      </w:pPr>
      <w:r>
        <w:rPr>
          <w:b/>
          <w:bCs/>
        </w:rPr>
        <w:t xml:space="preserve">(b)</w:t>
      </w:r>
      <w:r>
        <w:t xml:space="preserve"> b</w:t>
      </w:r>
    </w:p>
    <w:p>
      <w:pPr>
        <w:pStyle w:val="WSKeyItem"/>
      </w:pPr>
      <w:r>
        <w:rPr>
          <w:b/>
          <w:bCs/>
        </w:rPr>
        <w:t xml:space="preserve">(c)</w:t>
      </w:r>
      <w:r>
        <w:t xml:space="preserve"> b</w:t>
      </w:r>
    </w:p>
    <w:p>
      <w:pPr>
        <w:pStyle w:val="WSKeyQ"/>
      </w:pPr>
      <w:r>
        <w:t xml:space="preserve">Question 3</w:t>
      </w:r>
    </w:p>
    <w:p>
      <w:pPr>
        <w:pStyle w:val="WSKeyItem"/>
      </w:pPr>
      <w:r>
        <w:rPr>
          <w:b/>
          <w:bCs/>
        </w:rPr>
        <w:t xml:space="preserve">(a)</w:t>
      </w:r>
      <w:r>
        <w:t xml:space="preserve"> c</w:t>
      </w:r>
    </w:p>
    <w:p>
      <w:pPr>
        <w:pStyle w:val="WSKeyItem"/>
      </w:pPr>
      <w:r>
        <w:rPr>
          <w:b/>
          <w:bCs/>
        </w:rPr>
        <w:t xml:space="preserve">(b)</w:t>
      </w:r>
      <w:r>
        <w:t xml:space="preserve"> b</w:t>
      </w:r>
    </w:p>
    <w:p>
      <w:pPr>
        <w:pStyle w:val="WSKeyItem"/>
      </w:pPr>
      <w:r>
        <w:rPr>
          <w:b/>
          <w:bCs/>
        </w:rPr>
        <w:t xml:space="preserve">(c)</w:t>
      </w:r>
      <w:r>
        <w:t xml:space="preserve"> porque a base de que partimos já é mais vulnerável à seca (1)</w:t>
      </w:r>
    </w:p>
    <w:p>
      <w:pPr>
        <w:pStyle w:val="WSKeyCont"/>
      </w:pPr>
      <w:r>
        <w:t xml:space="preserve">pelo que a redução de precipitação é muitíssimo significativa (1)</w:t>
      </w:r>
    </w:p>
    <w:p>
      <w:pPr>
        <w:pStyle w:val="WSKeyItem"/>
      </w:pPr>
      <w:r>
        <w:rPr>
          <w:b/>
          <w:bCs/>
        </w:rPr>
        <w:t xml:space="preserve">(d)</w:t>
      </w:r>
      <w:r>
        <w:t xml:space="preserve"> b</w:t>
      </w:r>
    </w:p>
    <w:p>
      <w:pPr>
        <w:pStyle w:val="WSKeyQ"/>
      </w:pPr>
      <w:r>
        <w:t xml:space="preserve">Question 4</w:t>
      </w:r>
    </w:p>
    <w:p>
      <w:pPr>
        <w:pStyle w:val="WSKeyItem"/>
      </w:pPr>
      <w:r>
        <w:rPr>
          <w:b/>
          <w:bCs/>
        </w:rPr>
        <w:t xml:space="preserve">(a)</w:t>
      </w:r>
      <w:r>
        <w:t xml:space="preserve"> As brincadeiras/conversas estavam esgotadas e tinham perdido o sabor (1)</w:t>
      </w:r>
    </w:p>
    <w:p>
      <w:pPr>
        <w:pStyle w:val="WSKeyCont"/>
      </w:pPr>
      <w:r>
        <w:t xml:space="preserve">e a malta sentia-se aborrecida, sem saber o que fazer (1)</w:t>
      </w:r>
    </w:p>
    <w:p>
      <w:pPr>
        <w:pStyle w:val="WSKeyItem"/>
      </w:pPr>
      <w:r>
        <w:rPr>
          <w:b/>
          <w:bCs/>
        </w:rPr>
        <w:t xml:space="preserve">(b)</w:t>
      </w:r>
      <w:r>
        <w:t xml:space="preserve"> 1 — A, 2 — B, 3 — C</w:t>
      </w:r>
    </w:p>
    <w:p>
      <w:pPr>
        <w:pStyle w:val="WSKeyItem"/>
      </w:pPr>
      <w:r>
        <w:rPr>
          <w:b/>
          <w:bCs/>
        </w:rPr>
        <w:t xml:space="preserve">(c)</w:t>
      </w:r>
      <w:r>
        <w:t xml:space="preserve"> 1. propor aos amigos descerem pela porta da adegueira 2. girar a manivela de bronze / puxar a corda da roldana 3. voltar à adega e girar a manivela no sentido inverso</w:t>
      </w:r>
    </w:p>
    <w:p>
      <w:pPr>
        <w:pStyle w:val="WSKeyItem"/>
      </w:pPr>
      <w:r>
        <w:rPr>
          <w:b/>
          <w:bCs/>
        </w:rPr>
        <w:t xml:space="preserve">(d)</w:t>
      </w:r>
      <w:r>
        <w:t xml:space="preserve"> a</w:t>
      </w:r>
    </w:p>
    <w:p>
      <w:pPr>
        <w:pStyle w:val="WSKeyItem"/>
      </w:pPr>
      <w:r>
        <w:rPr>
          <w:b/>
          <w:bCs/>
        </w:rPr>
        <w:t xml:space="preserve">(e)</w:t>
      </w:r>
      <w:r>
        <w:t xml:space="preserve"> Preparava-se para repreender/dar um sermão à neta e às outras crianças (1)</w:t>
      </w:r>
    </w:p>
    <w:p>
      <w:pPr>
        <w:pStyle w:val="WSKeyCont"/>
      </w:pPr>
      <w:r>
        <w:t xml:space="preserve">porque elas tinham desrespeitado a proibição de entrar pela porta da adegueira (1)</w:t>
      </w:r>
    </w:p>
    <w:p>
      <w:pPr>
        <w:pStyle w:val="WSKeyCont"/>
      </w:pPr>
      <w:r>
        <w:t xml:space="preserve">não o fez porque começou a nevar, em pleno Julho, o que a deixou pasmada (1)</w:t>
      </w:r>
    </w:p>
    <w:p>
      <w:pPr>
        <w:pStyle w:val="WSKeyItem"/>
      </w:pPr>
      <w:r>
        <w:rPr>
          <w:b/>
          <w:bCs/>
        </w:rPr>
        <w:t xml:space="preserve">(f)</w:t>
      </w:r>
      <w:r>
        <w:t xml:space="preserve"> Identificação de um exemplo de interjeição, p. ex. «Ai» ou «Cavem» (1)</w:t>
      </w:r>
    </w:p>
    <w:p>
      <w:pPr>
        <w:pStyle w:val="WSKeyCont"/>
      </w:pPr>
      <w:r>
        <w:t xml:space="preserve">Identificação de um exemplo de expressão popular, p. ex. «vê-se-te-avias» (1)</w:t>
      </w:r>
    </w:p>
    <w:p>
      <w:pPr>
        <w:pStyle w:val="WSKeyCont"/>
      </w:pPr>
      <w:r>
        <w:t xml:space="preserve">Identificação de um exemplo de vocativo, p. ex. «Ó vizinhas» ou «avó» (1)</w:t>
      </w:r>
    </w:p>
    <w:p>
      <w:pPr>
        <w:pStyle w:val="WSKeyCont"/>
      </w:pPr>
      <w:r>
        <w:t xml:space="preserve">Identificação de um exemplo de omissão de sílabas, p. ex. «’Tão» ou «’tar» (1)</w:t>
      </w:r>
    </w:p>
    <w:p>
      <w:pPr>
        <w:pStyle w:val="WSKeyCont"/>
      </w:pPr>
      <w:r>
        <w:t xml:space="preserve">Referência ao efeito: aproximar a linguagem da fala oral/popular e dar vivacidade e autenticidade às personagens e ao relato (1)</w:t>
      </w:r>
    </w:p>
    <w:p>
      <w:pPr>
        <w:pStyle w:val="WSKeyItem"/>
      </w:pPr>
      <w:r>
        <w:rPr>
          <w:b/>
          <w:bCs/>
        </w:rPr>
        <w:t xml:space="preserve">(g)</w:t>
      </w:r>
      <w:r>
        <w:t xml:space="preserve"> Porque relata o fim do fenómeno extraordinário (a neve), que foi o centro da ação (1)</w:t>
      </w:r>
    </w:p>
    <w:p>
      <w:pPr>
        <w:pStyle w:val="WSKeyCont"/>
      </w:pPr>
      <w:r>
        <w:t xml:space="preserve">e porque encerra o episódio, devolvendo o bairro à situação de normalidade inicial (céu azul, fim do espanto e da preocupação) (1)</w:t>
      </w:r>
    </w:p>
    <w:p>
      <w:pPr>
        <w:pStyle w:val="WSKeyCont"/>
      </w:pPr>
      <w:r>
        <w:t xml:space="preserve">nota: o desfecho só é possível porque a Rita girou a manivela no sentido inverso, desfazendo o que a tinha provocado (1)</w:t>
      </w:r>
    </w:p>
    <w:sectPr w:rsidR="00FC693F" w:rsidRPr="0006063C" w:rsidSect="00034616">
      <w:footerReference r:id="rId9" w:type="default"/>
      <w:pgSz w:h="16838" w:w="11906"/>
      <w:pgMar w:bottom="1008" w:footer="547" w:gutter="0" w:header="720" w:left="1133" w:right="1133" w:top="108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cs="Calibri"/>
        <w:color w:val="6B7280"/>
        <w:sz w:val="16"/>
        <w:szCs w:val="16"/>
      </w:rPr>
      <w:t xml:space="preserve">Compreensão do Oral e da Leitura — Textos A e B (9.º ano)   ·   </w:t>
    </w:r>
    <w:r>
      <w:rPr>
        <w:rFonts w:ascii="Calibri" w:hAnsi="Calibri" w:cs="Calibri"/>
        <w:color w:val="6B7280"/>
        <w:sz w:val="16"/>
        <w:szCs w:val="16"/>
      </w:rPr>
      <w:t xml:space="preserve">Page </w:t>
    </w:r>
    <w:r>
      <w:rPr>
        <w:rFonts w:ascii="Calibri" w:hAnsi="Calibri" w:cs="Calibri"/>
        <w:color w:val="6B7280"/>
        <w:sz w:val="16"/>
        <w:szCs w:val="16"/>
      </w:rPr>
      <w:fldChar w:fldCharType="begin"/>
    </w:r>
    <w:r>
      <w:rPr>
        <w:rFonts w:ascii="Calibri" w:hAnsi="Calibri" w:cs="Calibri"/>
        <w:color w:val="6B7280"/>
        <w:sz w:val="16"/>
        <w:szCs w:val="16"/>
      </w:rPr>
      <w:instrText xml:space="preserve"> PAGE </w:instrText>
    </w:r>
    <w:r>
      <w:rPr>
        <w:rFonts w:ascii="Calibri" w:hAnsi="Calibri" w:cs="Calibri"/>
        <w:color w:val="6B7280"/>
        <w:sz w:val="16"/>
        <w:szCs w:val="16"/>
      </w:rPr>
      <w:fldChar w:fldCharType="end"/>
    </w:r>
    <w:r>
      <w:rPr>
        <w:rFonts w:ascii="Calibri" w:hAnsi="Calibri" w:cs="Calibri"/>
        <w:color w:val="6B7280"/>
        <w:sz w:val="16"/>
        <w:szCs w:val="16"/>
      </w:rPr>
      <w:t xml:space="preserve"> of </w:t>
    </w:r>
    <w:r>
      <w:rPr>
        <w:rFonts w:ascii="Calibri" w:hAnsi="Calibri" w:cs="Calibri"/>
        <w:color w:val="6B7280"/>
        <w:sz w:val="16"/>
        <w:szCs w:val="16"/>
      </w:rPr>
      <w:fldChar w:fldCharType="begin"/>
    </w:r>
    <w:r>
      <w:rPr>
        <w:rFonts w:ascii="Calibri" w:hAnsi="Calibri" w:cs="Calibri"/>
        <w:color w:val="6B7280"/>
        <w:sz w:val="16"/>
        <w:szCs w:val="16"/>
      </w:rPr>
      <w:instrText xml:space="preserve"> NUMPAGES </w:instrText>
    </w:r>
    <w:r>
      <w:rPr>
        <w:rFonts w:ascii="Calibri" w:hAnsi="Calibri" w:cs="Calibri"/>
        <w:color w:val="6B7280"/>
        <w:sz w:val="16"/>
        <w:szCs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78" w:lineRule="auto"/>
    </w:pPr>
    <w:rPr>
      <w:rFonts w:ascii="Cambria" w:hAnsi="Cambria"/>
      <w:color w:val="1A1A1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rPr>
      <w:rFonts w:ascii="Cambria" w:hAnsi="Cambria"/>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WSTitle" w:type="paragraph">
    <w:name w:val="WSTitle"/>
    <w:basedOn w:val="Normal"/>
    <w:qFormat/>
    <w:pPr>
      <w:keepNext/>
      <w:keepLines/>
      <w:widowControl/>
      <w:spacing w:after="20" w:before="0"/>
      <w:ind w:left="202" w:right="0"/>
    </w:pPr>
    <w:rPr>
      <w:rFonts w:ascii="Calibri" w:cs="Calibri" w:hAnsi="Calibri"/>
      <w:b/>
      <w:bCs/>
      <w:color w:val="1F3864"/>
      <w:sz w:val="38"/>
      <w:szCs w:val="38"/>
    </w:rPr>
  </w:style>
  <w:style w:customStyle="1" w:styleId="WSMeta" w:type="paragraph">
    <w:name w:val="WSMeta"/>
    <w:basedOn w:val="Normal"/>
    <w:qFormat/>
    <w:pPr>
      <w:keepNext/>
      <w:keepLines/>
      <w:widowControl/>
      <w:pBdr>
        <w:bottom w:color="1F3864" w:space="4" w:sz="12" w:val="single"/>
      </w:pBdr>
      <w:tabs>
        <w:tab w:pos="9437" w:val="right"/>
      </w:tabs>
      <w:spacing w:after="200" w:before="0"/>
      <w:ind w:left="202" w:right="0"/>
    </w:pPr>
    <w:rPr>
      <w:rFonts w:ascii="Calibri" w:cs="Calibri" w:hAnsi="Calibri"/>
      <w:color w:val="6B7280"/>
      <w:sz w:val="17"/>
      <w:szCs w:val="17"/>
    </w:rPr>
  </w:style>
  <w:style w:customStyle="1" w:styleId="WSIdent" w:type="paragraph">
    <w:name w:val="WSIdent"/>
    <w:basedOn w:val="Normal"/>
    <w:qFormat/>
    <w:pPr>
      <w:keepLines/>
      <w:widowControl/>
      <w:tabs>
        <w:tab w:pos="4152" w:val="left"/>
        <w:tab w:pos="6983" w:val="left"/>
        <w:tab w:pos="9437" w:val="left"/>
      </w:tabs>
      <w:spacing w:after="280" w:before="40"/>
      <w:ind w:left="202" w:right="0"/>
    </w:pPr>
    <w:rPr>
      <w:rFonts w:ascii="Calibri" w:cs="Calibri" w:hAnsi="Calibri"/>
      <w:color w:val="1A1A1A"/>
      <w:sz w:val="20"/>
      <w:szCs w:val="20"/>
    </w:rPr>
  </w:style>
  <w:style w:customStyle="1" w:styleId="WSBand" w:type="paragraph">
    <w:name w:val="WSBand"/>
    <w:basedOn w:val="Normal"/>
    <w:qFormat/>
    <w:pPr>
      <w:keepNext/>
      <w:keepLines/>
      <w:widowControl/>
      <w:pBdr>
        <w:top w:color="E8EEF7" w:space="5" w:sz="4" w:val="single"/>
        <w:left w:color="1F3864" w:space="6" w:sz="24" w:val="single"/>
        <w:bottom w:color="E8EEF7" w:space="5" w:sz="4" w:val="single"/>
        <w:right w:color="E8EEF7" w:space="5" w:sz="4" w:val="single"/>
      </w:pBdr>
      <w:shd w:color="auto" w:fill="E8EEF7" w:val="clear"/>
      <w:tabs>
        <w:tab w:pos="9293" w:val="right"/>
      </w:tabs>
      <w:spacing w:after="160" w:before="40"/>
      <w:ind w:left="202" w:right="144"/>
      <w:outlineLvl w:val="0"/>
    </w:pPr>
    <w:rPr>
      <w:rFonts w:ascii="Calibri" w:cs="Calibri" w:hAnsi="Calibri"/>
      <w:b/>
      <w:bCs/>
      <w:color w:val="1F3864"/>
      <w:sz w:val="25"/>
      <w:szCs w:val="25"/>
    </w:rPr>
  </w:style>
  <w:style w:customStyle="1" w:styleId="WSSection" w:type="paragraph">
    <w:name w:val="WSSection"/>
    <w:basedOn w:val="Normal"/>
    <w:qFormat/>
    <w:pPr>
      <w:keepNext/>
      <w:keepLines/>
      <w:widowControl/>
      <w:spacing w:after="80" w:before="80"/>
      <w:ind w:left="202" w:right="0"/>
      <w:outlineLvl w:val="1"/>
    </w:pPr>
    <w:rPr>
      <w:rFonts w:ascii="Calibri" w:cs="Calibri" w:hAnsi="Calibri"/>
      <w:b/>
      <w:bCs/>
      <w:color w:val="1F3864"/>
      <w:sz w:val="23"/>
      <w:szCs w:val="23"/>
    </w:rPr>
  </w:style>
  <w:style w:customStyle="1" w:styleId="WSStim" w:type="paragraph">
    <w:name w:val="WSStim"/>
    <w:basedOn w:val="Normal"/>
    <w:qFormat/>
    <w:pPr>
      <w:keepLines/>
      <w:widowControl/>
      <w:pBdr>
        <w:top w:color="D9D9CF" w:space="7" w:sz="4" w:val="single"/>
        <w:left w:color="D9D9CF" w:space="7" w:sz="4" w:val="single"/>
        <w:bottom w:color="D9D9CF" w:space="7" w:sz="4" w:val="single"/>
        <w:right w:color="D9D9CF" w:space="7" w:sz="4" w:val="single"/>
      </w:pBdr>
      <w:shd w:color="auto" w:fill="F7F7F3" w:val="clear"/>
      <w:spacing w:after="100" w:before="0" w:line="293" w:lineRule="auto"/>
      <w:ind w:left="202" w:right="202"/>
    </w:pPr>
    <w:rPr>
      <w:rFonts w:ascii="Cambria" w:cs="Cambria" w:hAnsi="Cambria"/>
      <w:color w:val="1A1A1A"/>
      <w:sz w:val="21"/>
      <w:szCs w:val="21"/>
    </w:rPr>
  </w:style>
  <w:style w:customStyle="1" w:styleId="WSFig" w:type="paragraph">
    <w:name w:val="WSFig"/>
    <w:basedOn w:val="Normal"/>
    <w:qFormat/>
    <w:pPr>
      <w:keepNext/>
      <w:keepLines/>
      <w:widowControl/>
      <w:spacing w:after="20" w:before="160"/>
      <w:jc w:val="center"/>
    </w:pPr>
    <w:rPr>
      <w:rFonts w:ascii="Cambria" w:cs="Cambria" w:hAnsi="Cambria"/>
      <w:color w:val="1A1A1A"/>
      <w:sz w:val="22"/>
      <w:szCs w:val="22"/>
    </w:rPr>
  </w:style>
  <w:style w:customStyle="1" w:styleId="WSCaption" w:type="paragraph">
    <w:name w:val="WSCaption"/>
    <w:basedOn w:val="Normal"/>
    <w:qFormat/>
    <w:pPr>
      <w:keepLines/>
      <w:widowControl/>
      <w:spacing w:after="180" w:before="0"/>
      <w:jc w:val="center"/>
    </w:pPr>
    <w:rPr>
      <w:rFonts w:ascii="Calibri" w:cs="Calibri" w:hAnsi="Calibri"/>
      <w:i/>
      <w:iCs/>
      <w:color w:val="6B7280"/>
      <w:sz w:val="17"/>
      <w:szCs w:val="17"/>
    </w:rPr>
  </w:style>
  <w:style w:customStyle="1" w:styleId="WSStem" w:type="paragraph">
    <w:name w:val="WSStem"/>
    <w:basedOn w:val="Normal"/>
    <w:qFormat/>
    <w:pPr>
      <w:keepNext/>
      <w:keepLines/>
      <w:widowControl/>
      <w:spacing w:after="100" w:before="280"/>
      <w:ind w:left="202" w:right="0"/>
    </w:pPr>
    <w:rPr>
      <w:rFonts w:ascii="Cambria" w:cs="Cambria" w:hAnsi="Cambria"/>
      <w:color w:val="1A1A1A"/>
      <w:sz w:val="22"/>
      <w:szCs w:val="22"/>
    </w:rPr>
  </w:style>
  <w:style w:customStyle="1" w:styleId="WSStemFlow" w:type="paragraph">
    <w:name w:val="WSStemFlow"/>
    <w:basedOn w:val="Normal"/>
    <w:qFormat/>
    <w:pPr>
      <w:keepLines/>
      <w:widowControl/>
      <w:spacing w:after="100" w:before="280"/>
      <w:ind w:left="202" w:right="0"/>
    </w:pPr>
    <w:rPr>
      <w:rFonts w:ascii="Cambria" w:cs="Cambria" w:hAnsi="Cambria"/>
      <w:color w:val="1A1A1A"/>
      <w:sz w:val="22"/>
      <w:szCs w:val="22"/>
    </w:rPr>
  </w:style>
  <w:style w:customStyle="1" w:styleId="WSRule" w:type="paragraph">
    <w:name w:val="WSRule"/>
    <w:basedOn w:val="Normal"/>
    <w:qFormat/>
    <w:pPr>
      <w:widowControl/>
      <w:tabs>
        <w:tab w:pos="9437" w:val="right"/>
      </w:tabs>
      <w:spacing w:after="0" w:before="260"/>
      <w:ind w:left="202" w:right="0"/>
    </w:pPr>
    <w:rPr>
      <w:rFonts w:ascii="Cambria" w:cs="Cambria" w:hAnsi="Cambria"/>
      <w:color w:val="1A1A1A"/>
      <w:sz w:val="22"/>
      <w:szCs w:val="22"/>
    </w:rPr>
  </w:style>
  <w:style w:customStyle="1" w:styleId="WSAnswerLine" w:type="paragraph">
    <w:name w:val="WSAnswerLine"/>
    <w:basedOn w:val="Normal"/>
    <w:qFormat/>
    <w:pPr>
      <w:keepLines/>
      <w:widowControl/>
      <w:spacing w:after="160" w:before="80"/>
      <w:ind w:left="202" w:right="0"/>
    </w:pPr>
    <w:rPr>
      <w:rFonts w:ascii="Cambria" w:cs="Cambria" w:hAnsi="Cambria"/>
      <w:color w:val="1A1A1A"/>
      <w:sz w:val="22"/>
      <w:szCs w:val="22"/>
    </w:rPr>
  </w:style>
  <w:style w:customStyle="1" w:styleId="WSChoice" w:type="paragraph">
    <w:name w:val="WSChoice"/>
    <w:basedOn w:val="Normal"/>
    <w:qFormat/>
    <w:pPr>
      <w:keepLines/>
      <w:widowControl/>
      <w:spacing w:after="40" w:before="40"/>
      <w:ind w:left="576" w:right="0"/>
    </w:pPr>
    <w:rPr>
      <w:rFonts w:ascii="Cambria" w:cs="Cambria" w:hAnsi="Cambria"/>
      <w:color w:val="1A1A1A"/>
      <w:sz w:val="21"/>
      <w:szCs w:val="21"/>
    </w:rPr>
  </w:style>
  <w:style w:customStyle="1" w:styleId="WSChoiceFig" w:type="paragraph">
    <w:name w:val="WSChoiceFig"/>
    <w:basedOn w:val="Normal"/>
    <w:qFormat/>
    <w:pPr>
      <w:keepLines/>
      <w:widowControl/>
      <w:spacing w:after="60" w:before="20"/>
      <w:ind w:left="576" w:right="0"/>
    </w:pPr>
    <w:rPr>
      <w:rFonts w:ascii="Cambria" w:cs="Cambria" w:hAnsi="Cambria"/>
      <w:color w:val="1A1A1A"/>
      <w:sz w:val="21"/>
      <w:szCs w:val="21"/>
    </w:rPr>
  </w:style>
  <w:style w:customStyle="1" w:styleId="WSNote" w:type="paragraph">
    <w:name w:val="WSNote"/>
    <w:basedOn w:val="Normal"/>
    <w:qFormat/>
    <w:pPr>
      <w:keepLines/>
      <w:widowControl/>
      <w:spacing w:after="160" w:before="80"/>
      <w:jc w:val="center"/>
    </w:pPr>
    <w:rPr>
      <w:rFonts w:ascii="Calibri" w:cs="Calibri" w:hAnsi="Calibri"/>
      <w:i/>
      <w:iCs/>
      <w:color w:val="6B7280"/>
      <w:sz w:val="18"/>
      <w:szCs w:val="18"/>
    </w:rPr>
  </w:style>
  <w:style w:customStyle="1" w:styleId="WSKeyQ" w:type="paragraph">
    <w:name w:val="WSKeyQ"/>
    <w:basedOn w:val="Normal"/>
    <w:qFormat/>
    <w:pPr>
      <w:keepNext/>
      <w:keepLines/>
      <w:widowControl/>
      <w:spacing w:after="60" w:before="200"/>
      <w:ind w:left="202" w:right="0"/>
    </w:pPr>
    <w:rPr>
      <w:rFonts w:ascii="Calibri" w:cs="Calibri" w:hAnsi="Calibri"/>
      <w:b/>
      <w:bCs/>
      <w:color w:val="1F3864"/>
      <w:sz w:val="22"/>
      <w:szCs w:val="22"/>
    </w:rPr>
  </w:style>
  <w:style w:customStyle="1" w:styleId="Compact" w:type="paragraph">
    <w:name w:val="Compact"/>
    <w:basedOn w:val="Normal"/>
    <w:qFormat/>
    <w:pPr>
      <w:keepLines/>
      <w:widowControl/>
      <w:spacing w:after="40" w:before="40"/>
    </w:pPr>
    <w:rPr>
      <w:rFonts w:ascii="Cambria" w:cs="Cambria" w:hAnsi="Cambria"/>
      <w:color w:val="1A1A1A"/>
      <w:sz w:val="21"/>
      <w:szCs w:val="21"/>
    </w:rPr>
  </w:style>
  <w:style w:customStyle="1" w:styleId="WSKeyItem" w:type="paragraph">
    <w:name w:val="WSKeyItem"/>
    <w:basedOn w:val="Normal"/>
    <w:qFormat/>
    <w:pPr>
      <w:keepLines/>
      <w:widowControl/>
      <w:spacing w:after="20" w:before="20"/>
      <w:ind w:left="576" w:right="0"/>
    </w:pPr>
    <w:rPr>
      <w:rFonts w:ascii="Cambria" w:cs="Cambria" w:hAnsi="Cambria"/>
      <w:color w:val="1A1A1A"/>
      <w:sz w:val="21"/>
      <w:szCs w:val="21"/>
    </w:rPr>
  </w:style>
  <w:style w:customStyle="1" w:styleId="WSKeyCont" w:type="paragraph">
    <w:name w:val="WSKeyCont"/>
    <w:basedOn w:val="Normal"/>
    <w:qFormat/>
    <w:pPr>
      <w:keepLines/>
      <w:widowControl/>
      <w:spacing w:after="20" w:before="20"/>
      <w:ind w:left="576" w:right="0"/>
    </w:pPr>
    <w:rPr>
      <w:rFonts w:ascii="Cambria" w:cs="Cambria" w:hAnsi="Cambria"/>
      <w:color w:val="1A1A1A"/>
      <w:sz w:val="21"/>
      <w:szCs w:val="21"/>
    </w:rPr>
  </w:style>
  <w:style w:customStyle="1" w:styleId="WSKeyInline" w:type="paragraph">
    <w:name w:val="WSKeyInline"/>
    <w:basedOn w:val="Normal"/>
    <w:qFormat/>
    <w:pPr>
      <w:keepLines/>
      <w:widowControl/>
      <w:pBdr>
        <w:top w:color="E8EEF7" w:space="4" w:sz="4" w:val="single"/>
        <w:left w:color="1F3864" w:space="5" w:sz="16" w:val="single"/>
        <w:bottom w:color="E8EEF7" w:space="4" w:sz="4" w:val="single"/>
        <w:right w:color="E8EEF7" w:space="4" w:sz="4" w:val="single"/>
      </w:pBdr>
      <w:shd w:color="auto" w:fill="E8EEF7" w:val="clear"/>
      <w:spacing w:after="60" w:before="60"/>
      <w:ind w:left="202" w:right="144"/>
    </w:pPr>
    <w:rPr>
      <w:rFonts w:ascii="Calibri" w:cs="Calibri" w:hAnsi="Calibri"/>
      <w:color w:val="1F3864"/>
      <w:sz w:val="19"/>
      <w:szCs w:val="19"/>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2026-09-15T08:26:08Z</dcterms:created>
  <dcterms:modified xsi:type="dcterms:W3CDTF">2026-09-15T08:26:08Z</dcterms:modified>
</cp:coreProperties>
</file>

<file path=docProps/custom.xml><?xml version="1.0" encoding="utf-8"?>
<Properties xmlns="http://schemas.openxmlformats.org/officeDocument/2006/custom-properties" xmlns:vt="http://schemas.openxmlformats.org/officeDocument/2006/docPropsVTypes"/>
</file>